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37F06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D2CECEA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F89776C" w14:textId="77777777" w:rsidR="003A27C8" w:rsidRPr="00B304E9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7B7165E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35E1ED77" w14:textId="77777777" w:rsidR="003A27C8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375FB57D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DC24C48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0716C9">
        <w:rPr>
          <w:rFonts w:ascii="Cambria" w:hAnsi="Cambria" w:cs="MyriadPro-Black"/>
          <w:caps/>
          <w:sz w:val="60"/>
          <w:szCs w:val="60"/>
        </w:rPr>
        <w:t>IPRÚ</w:t>
      </w:r>
    </w:p>
    <w:p w14:paraId="51F5581F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4C4281BD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2E781FC1" w14:textId="77777777" w:rsidR="003A27C8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166FEC3" w14:textId="77777777" w:rsidR="003A27C8" w:rsidRPr="004A011E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14:paraId="77485BE6" w14:textId="77777777" w:rsidR="003A27C8" w:rsidRPr="004A011E" w:rsidRDefault="003A27C8" w:rsidP="003A27C8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716C9">
        <w:rPr>
          <w:rFonts w:ascii="Cambria" w:hAnsi="Cambria" w:cs="MyriadPro-Black"/>
          <w:caps/>
          <w:color w:val="A6A6A6"/>
          <w:sz w:val="40"/>
          <w:szCs w:val="40"/>
        </w:rPr>
        <w:t>61</w:t>
      </w:r>
    </w:p>
    <w:p w14:paraId="2DFA7753" w14:textId="77777777" w:rsidR="003A27C8" w:rsidRPr="004C3570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7CC06CDC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D0125">
        <w:rPr>
          <w:rFonts w:ascii="Cambria" w:hAnsi="Cambria" w:cs="MyriadPro-Black"/>
          <w:caps/>
          <w:sz w:val="40"/>
          <w:szCs w:val="40"/>
        </w:rPr>
        <w:t>16</w:t>
      </w:r>
    </w:p>
    <w:p w14:paraId="7D1D3F96" w14:textId="77777777" w:rsidR="003A27C8" w:rsidRDefault="003A27C8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61D4D82" w14:textId="77777777" w:rsidR="009A6143" w:rsidRPr="00FA6525" w:rsidRDefault="009A6143" w:rsidP="009A6143">
      <w:pPr>
        <w:pStyle w:val="Zkladnodstavec"/>
        <w:rPr>
          <w:rFonts w:asciiTheme="majorHAnsi" w:hAnsiTheme="majorHAnsi" w:cs="Arial"/>
          <w:b/>
          <w:caps/>
          <w:sz w:val="46"/>
          <w:szCs w:val="40"/>
        </w:rPr>
      </w:pPr>
      <w:r w:rsidRPr="00FA6525">
        <w:rPr>
          <w:rFonts w:asciiTheme="majorHAnsi" w:hAnsiTheme="majorHAnsi" w:cs="Arial"/>
          <w:b/>
          <w:caps/>
          <w:sz w:val="46"/>
          <w:szCs w:val="40"/>
        </w:rPr>
        <w:t>Vzor Pověřovací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ho</w:t>
      </w:r>
      <w:r w:rsidRPr="00FA6525">
        <w:rPr>
          <w:rFonts w:asciiTheme="majorHAnsi" w:hAnsiTheme="majorHAnsi" w:cs="Arial"/>
          <w:b/>
          <w:caps/>
          <w:sz w:val="46"/>
          <w:szCs w:val="40"/>
        </w:rPr>
        <w:t xml:space="preserve"> akt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u</w:t>
      </w:r>
    </w:p>
    <w:p w14:paraId="0D336359" w14:textId="7C115C73" w:rsidR="009A6143" w:rsidRPr="00FA6525" w:rsidRDefault="00AD600D" w:rsidP="009A6143">
      <w:pPr>
        <w:jc w:val="left"/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FA6525">
        <w:rPr>
          <w:rFonts w:asciiTheme="majorHAnsi" w:hAnsiTheme="majorHAnsi" w:cs="Arial"/>
          <w:b/>
          <w:bCs/>
          <w:smallCaps/>
          <w:sz w:val="32"/>
          <w:szCs w:val="52"/>
        </w:rPr>
        <w:t>po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dle Rozhodnutí Komise (2012/21/EU) o použití čl. 106 odst.</w:t>
      </w:r>
      <w:r w:rsidR="00ED751F">
        <w:rPr>
          <w:rFonts w:asciiTheme="majorHAnsi" w:hAnsiTheme="majorHAnsi" w:cs="Arial"/>
          <w:b/>
          <w:bCs/>
          <w:smallCaps/>
          <w:sz w:val="32"/>
          <w:szCs w:val="52"/>
        </w:rPr>
        <w:t> 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2 SFEU na státní podporu ve formě vyrovnávací platby za závazek veřejné služby udělené určitým podniků</w:t>
      </w:r>
      <w:r w:rsidR="00032381" w:rsidRPr="00FA6525">
        <w:rPr>
          <w:rFonts w:asciiTheme="majorHAnsi" w:hAnsiTheme="majorHAnsi" w:cs="Arial"/>
          <w:b/>
          <w:bCs/>
          <w:smallCaps/>
          <w:sz w:val="32"/>
          <w:szCs w:val="52"/>
        </w:rPr>
        <w:t>m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07770F1F" w14:textId="77777777" w:rsidR="009A6143" w:rsidRPr="00FA652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7D8BDE2B" w14:textId="77777777" w:rsidR="003A27C8" w:rsidRPr="00FA652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</w:p>
    <w:p w14:paraId="79D70384" w14:textId="55D93A62" w:rsidR="009A6143" w:rsidRPr="00056E0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FA652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1F026F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8AECE5F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2FF03E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4B2083A4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39671401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427733A5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72050D24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6D613D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1DC4F3CF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2EFD0F31" w14:textId="77777777" w:rsidTr="00206456">
        <w:tc>
          <w:tcPr>
            <w:tcW w:w="4515" w:type="dxa"/>
          </w:tcPr>
          <w:p w14:paraId="27C9FC9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0AEC86D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2755FD01" w14:textId="77777777" w:rsidTr="00206456">
        <w:tc>
          <w:tcPr>
            <w:tcW w:w="4515" w:type="dxa"/>
          </w:tcPr>
          <w:p w14:paraId="3D3C89A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567A27C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5312BA83" w14:textId="77777777" w:rsidTr="00206456">
        <w:tc>
          <w:tcPr>
            <w:tcW w:w="4515" w:type="dxa"/>
          </w:tcPr>
          <w:p w14:paraId="28D7C9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7965D7B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4F065C21" w14:textId="77777777" w:rsidTr="00206456">
        <w:tc>
          <w:tcPr>
            <w:tcW w:w="4515" w:type="dxa"/>
          </w:tcPr>
          <w:p w14:paraId="108A24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1EB2DE49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5A6CB6A6" w14:textId="77777777" w:rsidTr="00206456">
        <w:tc>
          <w:tcPr>
            <w:tcW w:w="4515" w:type="dxa"/>
          </w:tcPr>
          <w:p w14:paraId="42092E0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753702A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B34EB4E" w14:textId="77777777" w:rsidTr="00206456">
        <w:tc>
          <w:tcPr>
            <w:tcW w:w="4515" w:type="dxa"/>
          </w:tcPr>
          <w:p w14:paraId="17A7E85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1F88B92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AE8AF0C" w14:textId="77777777" w:rsidTr="00206456">
        <w:tc>
          <w:tcPr>
            <w:tcW w:w="4515" w:type="dxa"/>
          </w:tcPr>
          <w:p w14:paraId="1834082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1F285F9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B3AAFF9" w14:textId="77777777" w:rsidTr="00206456">
        <w:tc>
          <w:tcPr>
            <w:tcW w:w="4515" w:type="dxa"/>
          </w:tcPr>
          <w:p w14:paraId="7B905538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6B223AE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D25ADB1" w14:textId="77777777" w:rsidTr="00206456">
        <w:tc>
          <w:tcPr>
            <w:tcW w:w="4515" w:type="dxa"/>
          </w:tcPr>
          <w:p w14:paraId="357DA74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3086C44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9FF2DE0" w14:textId="77777777" w:rsidTr="00206456">
        <w:tc>
          <w:tcPr>
            <w:tcW w:w="4515" w:type="dxa"/>
          </w:tcPr>
          <w:p w14:paraId="6985327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35EE174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D8F9742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28AA9140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5C0CDB34" w14:textId="77777777" w:rsidTr="00206456">
        <w:tc>
          <w:tcPr>
            <w:tcW w:w="4500" w:type="dxa"/>
          </w:tcPr>
          <w:p w14:paraId="329308A9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4DC00F0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220AF522" w14:textId="77777777" w:rsidTr="00206456">
        <w:tc>
          <w:tcPr>
            <w:tcW w:w="4500" w:type="dxa"/>
          </w:tcPr>
          <w:p w14:paraId="7442300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2A3A84F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876AEE9" w14:textId="77777777" w:rsidTr="00206456">
        <w:tc>
          <w:tcPr>
            <w:tcW w:w="4500" w:type="dxa"/>
          </w:tcPr>
          <w:p w14:paraId="196ADC31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338DF82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9A2D917" w14:textId="77777777" w:rsidTr="00206456">
        <w:tc>
          <w:tcPr>
            <w:tcW w:w="4500" w:type="dxa"/>
          </w:tcPr>
          <w:p w14:paraId="2C21154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C3B4A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B207A4E" w14:textId="77777777" w:rsidTr="00206456">
        <w:tc>
          <w:tcPr>
            <w:tcW w:w="4500" w:type="dxa"/>
          </w:tcPr>
          <w:p w14:paraId="576F289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5E75E00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D2927E7" w14:textId="77777777" w:rsidTr="00206456">
        <w:tc>
          <w:tcPr>
            <w:tcW w:w="4500" w:type="dxa"/>
          </w:tcPr>
          <w:p w14:paraId="5800F5A6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7DCD02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9E08A39" w14:textId="77777777" w:rsidTr="00206456">
        <w:tc>
          <w:tcPr>
            <w:tcW w:w="4500" w:type="dxa"/>
          </w:tcPr>
          <w:p w14:paraId="1EEC9F5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76A8841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3B77EF4" w14:textId="77777777" w:rsidTr="00206456">
        <w:tc>
          <w:tcPr>
            <w:tcW w:w="4515" w:type="dxa"/>
            <w:gridSpan w:val="2"/>
          </w:tcPr>
          <w:p w14:paraId="76239022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4D5D69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F0690C" w14:textId="77777777" w:rsidTr="00206456">
        <w:tc>
          <w:tcPr>
            <w:tcW w:w="4500" w:type="dxa"/>
          </w:tcPr>
          <w:p w14:paraId="018E1609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42EFFE0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46322C" w14:textId="77777777" w:rsidTr="00206456">
        <w:tc>
          <w:tcPr>
            <w:tcW w:w="4500" w:type="dxa"/>
          </w:tcPr>
          <w:p w14:paraId="20FAB9E4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4DBA331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EFFACC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193622C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E2A07B4" w14:textId="77777777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>
        <w:rPr>
          <w:rFonts w:ascii="Arial" w:hAnsi="Arial" w:cs="Arial"/>
          <w:b/>
          <w:sz w:val="22"/>
        </w:rPr>
        <w:t> </w:t>
      </w:r>
      <w:r w:rsidRPr="00D350E9">
        <w:rPr>
          <w:rFonts w:ascii="Arial" w:hAnsi="Arial" w:cs="Arial"/>
          <w:sz w:val="20"/>
        </w:rPr>
        <w:t>rozhodnutím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 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3D765670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7FDEDC8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3C0139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1ABB95B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296C5B5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CF9C13F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9A6143" w:rsidRPr="00182B1A">
        <w:rPr>
          <w:rFonts w:ascii="Arial" w:hAnsi="Arial" w:cs="Arial"/>
          <w:sz w:val="20"/>
        </w:rPr>
        <w:t>zajištěním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54776C25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047CB49E" w14:textId="77777777" w:rsidR="0096084E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nezbytné</w:t>
      </w:r>
      <w:r w:rsidR="006802B7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 na základě předložené žádosti o podporu. Výše vyrovnávací platby je určena podle článku II</w:t>
      </w:r>
      <w:r w:rsidR="004A405E">
        <w:rPr>
          <w:rFonts w:ascii="Arial" w:hAnsi="Arial" w:cs="Arial"/>
          <w:sz w:val="20"/>
        </w:rPr>
        <w:t>I</w:t>
      </w:r>
      <w:r w:rsidR="009A6143" w:rsidRPr="00056E05">
        <w:rPr>
          <w:rFonts w:ascii="Arial" w:hAnsi="Arial" w:cs="Arial"/>
          <w:sz w:val="20"/>
        </w:rPr>
        <w:t xml:space="preserve">. </w:t>
      </w:r>
      <w:r w:rsidR="00931C4C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F29B77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3E700E32" w14:textId="77777777" w:rsidR="009A6143" w:rsidRDefault="009A6143" w:rsidP="0096084E">
      <w:pPr>
        <w:pStyle w:val="Odstavecseseznamem"/>
        <w:rPr>
          <w:rFonts w:ascii="Arial" w:hAnsi="Arial" w:cs="Arial"/>
          <w:sz w:val="20"/>
        </w:rPr>
      </w:pPr>
    </w:p>
    <w:p w14:paraId="6BDD7651" w14:textId="77777777" w:rsidR="006D0125" w:rsidRPr="00056E05" w:rsidRDefault="006D0125" w:rsidP="0096084E">
      <w:pPr>
        <w:pStyle w:val="Odstavecseseznamem"/>
        <w:rPr>
          <w:rFonts w:ascii="Arial" w:hAnsi="Arial" w:cs="Arial"/>
          <w:sz w:val="20"/>
        </w:rPr>
      </w:pPr>
    </w:p>
    <w:p w14:paraId="2A10FFAE" w14:textId="7777777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384353">
        <w:rPr>
          <w:rFonts w:ascii="Arial" w:hAnsi="Arial"/>
          <w:sz w:val="20"/>
        </w:rPr>
        <w:t>stanovené</w:t>
      </w:r>
      <w:r w:rsidR="00597AED" w:rsidRPr="00384353">
        <w:rPr>
          <w:rFonts w:ascii="Arial" w:hAnsi="Arial"/>
          <w:sz w:val="20"/>
        </w:rPr>
        <w:t xml:space="preserve"> </w:t>
      </w:r>
      <w:r w:rsidR="00C004FE" w:rsidRPr="00384353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E01BB2">
        <w:rPr>
          <w:rFonts w:ascii="Arial" w:hAnsi="Arial" w:cs="Arial"/>
          <w:sz w:val="20"/>
        </w:rPr>
        <w:t>,</w:t>
      </w:r>
      <w:r w:rsidR="00DB445D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vyjmenovaných v</w:t>
      </w:r>
      <w:r w:rsidR="00AC0AEF">
        <w:rPr>
          <w:rFonts w:ascii="Arial" w:hAnsi="Arial" w:cs="Arial"/>
          <w:sz w:val="20"/>
        </w:rPr>
        <w:t> </w:t>
      </w:r>
      <w:r w:rsidR="00F4769E">
        <w:rPr>
          <w:rFonts w:ascii="Arial" w:hAnsi="Arial" w:cs="Arial"/>
          <w:sz w:val="20"/>
        </w:rPr>
        <w:t>P</w:t>
      </w:r>
      <w:r w:rsidR="00696595">
        <w:rPr>
          <w:rFonts w:ascii="Arial" w:hAnsi="Arial" w:cs="Arial"/>
          <w:sz w:val="20"/>
        </w:rPr>
        <w:t>říloz</w:t>
      </w:r>
      <w:r w:rsidR="00AC0AEF">
        <w:rPr>
          <w:rFonts w:ascii="Arial" w:hAnsi="Arial" w:cs="Arial"/>
          <w:sz w:val="20"/>
        </w:rPr>
        <w:t xml:space="preserve">e č. </w:t>
      </w:r>
      <w:r w:rsidR="005C78C4">
        <w:rPr>
          <w:rFonts w:ascii="Arial" w:hAnsi="Arial" w:cs="Arial"/>
          <w:sz w:val="20"/>
        </w:rPr>
        <w:t>3</w:t>
      </w:r>
      <w:r w:rsidR="007D3BA8">
        <w:rPr>
          <w:rFonts w:ascii="Arial" w:hAnsi="Arial" w:cs="Arial"/>
          <w:sz w:val="20"/>
        </w:rPr>
        <w:t xml:space="preserve"> </w:t>
      </w:r>
      <w:r w:rsidR="00AC0AEF">
        <w:rPr>
          <w:rFonts w:ascii="Arial" w:hAnsi="Arial" w:cs="Arial"/>
          <w:sz w:val="20"/>
        </w:rPr>
        <w:t>„Pas</w:t>
      </w:r>
      <w:r w:rsidR="007F562A">
        <w:rPr>
          <w:rFonts w:ascii="Arial" w:hAnsi="Arial" w:cs="Arial"/>
          <w:sz w:val="20"/>
        </w:rPr>
        <w:t>porty byt</w:t>
      </w:r>
      <w:r w:rsidR="00D01112">
        <w:rPr>
          <w:rFonts w:ascii="Arial" w:hAnsi="Arial" w:cs="Arial"/>
          <w:sz w:val="20"/>
        </w:rPr>
        <w:t>u (bytů)</w:t>
      </w:r>
      <w:r w:rsidR="00AC0AEF">
        <w:rPr>
          <w:rFonts w:ascii="Arial" w:hAnsi="Arial" w:cs="Arial"/>
          <w:sz w:val="20"/>
        </w:rPr>
        <w:t xml:space="preserve">“ </w:t>
      </w:r>
      <w:r w:rsidR="006802B7">
        <w:rPr>
          <w:rFonts w:ascii="Arial" w:hAnsi="Arial" w:cs="Arial"/>
          <w:sz w:val="20"/>
        </w:rPr>
        <w:t>P</w:t>
      </w:r>
      <w:r w:rsidR="00892872">
        <w:rPr>
          <w:rFonts w:ascii="Arial" w:hAnsi="Arial" w:cs="Arial"/>
          <w:sz w:val="20"/>
        </w:rPr>
        <w:t>ověřovacího aktu.</w:t>
      </w:r>
    </w:p>
    <w:p w14:paraId="692D9298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5DD000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E01505C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4374DAC0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74F8BF01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5C47F9B" w14:textId="77777777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(dotace).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osobám v bytové nouzi formou SOHZ. </w:t>
      </w:r>
    </w:p>
    <w:p w14:paraId="5E6002B2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stanovené</w:t>
      </w:r>
      <w:r>
        <w:rPr>
          <w:rFonts w:ascii="Arial" w:eastAsiaTheme="minorHAnsi" w:hAnsi="Arial" w:cs="Arial"/>
          <w:sz w:val="20"/>
        </w:rPr>
        <w:t xml:space="preserve"> </w:t>
      </w:r>
      <w:r w:rsidR="00597AED" w:rsidRPr="00053502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24545902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52E75C3F" w14:textId="77777777" w:rsidR="007C3B43" w:rsidRDefault="00384353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 xml:space="preserve">Tržní 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>nájemn</w:t>
      </w:r>
      <w:r w:rsidR="00866DA5">
        <w:rPr>
          <w:rFonts w:ascii="Arial" w:eastAsiaTheme="minorHAnsi" w:hAnsi="Arial" w:cs="Arial"/>
          <w:sz w:val="20"/>
          <w:lang w:eastAsia="en-US"/>
        </w:rPr>
        <w:t>é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>je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B50D6">
        <w:rPr>
          <w:rFonts w:ascii="Arial" w:eastAsiaTheme="minorHAnsi" w:hAnsi="Arial" w:cs="Arial"/>
          <w:sz w:val="20"/>
          <w:lang w:eastAsia="en-US"/>
        </w:rPr>
        <w:t>pro účely poskytování vyrovnávací platby podle pověření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nájemné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v místě </w:t>
      </w:r>
      <w:r w:rsidR="008C6566" w:rsidRPr="00A43B84">
        <w:rPr>
          <w:rFonts w:ascii="Arial" w:eastAsiaTheme="minorHAnsi" w:hAnsi="Arial" w:cs="Arial"/>
          <w:sz w:val="20"/>
          <w:lang w:eastAsia="en-US"/>
        </w:rPr>
        <w:t xml:space="preserve">a čase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obvyklé</w:t>
      </w:r>
      <w:r w:rsidRPr="00A43B84">
        <w:rPr>
          <w:rFonts w:ascii="Arial" w:eastAsiaTheme="minorHAnsi" w:hAnsi="Arial" w:cs="Arial"/>
          <w:sz w:val="20"/>
          <w:lang w:eastAsia="en-US"/>
        </w:rPr>
        <w:t>, které</w:t>
      </w:r>
      <w:r w:rsidR="0087714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65AC7" w:rsidRPr="00A43B84">
        <w:rPr>
          <w:rFonts w:ascii="Arial" w:eastAsiaTheme="minorHAnsi" w:hAnsi="Arial" w:cs="Arial"/>
          <w:sz w:val="20"/>
          <w:lang w:eastAsia="en-US"/>
        </w:rPr>
        <w:t>se s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tanoví na základě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jednoho znaleckého posudku s hodnotou jeho vyčíslení.</w:t>
      </w:r>
    </w:p>
    <w:p w14:paraId="10CAB169" w14:textId="77777777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představuje rozdíl mezi vyčíslenou hodnotou </w:t>
      </w:r>
      <w:r w:rsidR="00F4769E" w:rsidRPr="00A43B84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nájemného a</w:t>
      </w:r>
      <w:r w:rsidR="00AE2D4C" w:rsidRPr="00A43B84">
        <w:rPr>
          <w:rFonts w:ascii="Arial" w:eastAsiaTheme="minorHAnsi" w:hAnsi="Arial" w:cs="Arial"/>
          <w:sz w:val="20"/>
          <w:lang w:eastAsia="en-US"/>
        </w:rPr>
        <w:t> 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stanoveným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nájemný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m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B04B86D" w14:textId="7777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,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 xml:space="preserve"> na pořízení nebytových prostor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a jejich adaptac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>i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pro potřeby sociálního bydlení 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F23F8AE" w14:textId="77777777" w:rsidR="00597AED" w:rsidRPr="00AB50D6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R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.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AB50D6">
        <w:rPr>
          <w:rFonts w:ascii="Arial" w:eastAsiaTheme="minorHAnsi" w:hAnsi="Arial"/>
          <w:sz w:val="20"/>
        </w:rPr>
        <w:t xml:space="preserve">Účinný je okamžikem vydání </w:t>
      </w:r>
      <w:r w:rsidR="00997211" w:rsidRPr="00AB50D6">
        <w:rPr>
          <w:rFonts w:ascii="Arial" w:eastAsiaTheme="minorHAnsi" w:hAnsi="Arial"/>
          <w:sz w:val="20"/>
        </w:rPr>
        <w:t>R</w:t>
      </w:r>
      <w:r w:rsidRPr="00AB50D6">
        <w:rPr>
          <w:rFonts w:ascii="Arial" w:eastAsiaTheme="minorHAnsi" w:hAnsi="Arial"/>
          <w:sz w:val="20"/>
        </w:rPr>
        <w:t>ozhodnutí o poskytnutí dotace</w:t>
      </w:r>
      <w:r w:rsidR="00376EE1">
        <w:rPr>
          <w:rFonts w:ascii="Arial" w:eastAsiaTheme="minorHAnsi" w:hAnsi="Arial"/>
          <w:sz w:val="20"/>
        </w:rPr>
        <w:t xml:space="preserve"> poskytovateli</w:t>
      </w:r>
      <w:r w:rsidRPr="00AB50D6">
        <w:rPr>
          <w:rFonts w:ascii="Arial" w:eastAsiaTheme="minorHAnsi" w:hAnsi="Arial"/>
          <w:sz w:val="20"/>
        </w:rPr>
        <w:t>.</w:t>
      </w:r>
    </w:p>
    <w:p w14:paraId="7207DED5" w14:textId="77777777" w:rsidR="00597AED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81101F">
        <w:rPr>
          <w:rFonts w:ascii="Arial" w:eastAsiaTheme="minorHAnsi" w:hAnsi="Arial" w:cs="Arial"/>
          <w:sz w:val="20"/>
          <w:lang w:eastAsia="en-US"/>
        </w:rPr>
        <w:t xml:space="preserve">Pověřovací akt 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>obsah</w:t>
      </w:r>
      <w:r w:rsidR="002303FE">
        <w:rPr>
          <w:rFonts w:ascii="Arial" w:eastAsiaTheme="minorHAnsi" w:hAnsi="Arial" w:cs="Arial"/>
          <w:sz w:val="20"/>
          <w:lang w:eastAsia="en-US"/>
        </w:rPr>
        <w:t>uje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7C605C">
        <w:rPr>
          <w:rFonts w:ascii="Arial" w:eastAsiaTheme="minorHAnsi" w:hAnsi="Arial" w:cs="Arial"/>
          <w:sz w:val="20"/>
          <w:lang w:eastAsia="en-US"/>
        </w:rPr>
        <w:t>výpočet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předpokládané investice a </w:t>
      </w:r>
      <w:r w:rsidR="004F0C7E" w:rsidRPr="0081101F">
        <w:rPr>
          <w:rFonts w:ascii="Arial" w:eastAsiaTheme="minorHAnsi" w:hAnsi="Arial" w:cs="Arial"/>
          <w:sz w:val="20"/>
          <w:lang w:eastAsia="en-US"/>
        </w:rPr>
        <w:t>celkov</w:t>
      </w:r>
      <w:r w:rsidR="00B06033">
        <w:rPr>
          <w:rFonts w:ascii="Arial" w:eastAsiaTheme="minorHAnsi" w:hAnsi="Arial" w:cs="Arial"/>
          <w:sz w:val="20"/>
          <w:lang w:eastAsia="en-US"/>
        </w:rPr>
        <w:t>ých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033">
        <w:rPr>
          <w:rFonts w:ascii="Arial" w:eastAsiaTheme="minorHAnsi" w:hAnsi="Arial" w:cs="Arial"/>
          <w:sz w:val="20"/>
          <w:lang w:eastAsia="en-US"/>
        </w:rPr>
        <w:t>způsobilých výdajů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, na jejichž základě bude vypočtena doba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účinnosti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pověření a míra poskytnuté dotace za pomoci matematického modelu, který je přílohou </w:t>
      </w:r>
      <w:r w:rsidR="006C5ABA">
        <w:rPr>
          <w:rFonts w:ascii="Arial" w:eastAsiaTheme="minorHAnsi" w:hAnsi="Arial" w:cs="Arial"/>
          <w:sz w:val="20"/>
          <w:lang w:eastAsia="en-US"/>
        </w:rPr>
        <w:t>č. 2 P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ověř</w:t>
      </w:r>
      <w:r w:rsidR="007C605C">
        <w:rPr>
          <w:rFonts w:ascii="Arial" w:eastAsiaTheme="minorHAnsi" w:hAnsi="Arial" w:cs="Arial"/>
          <w:sz w:val="20"/>
          <w:lang w:eastAsia="en-US"/>
        </w:rPr>
        <w:t>ovac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í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ho </w:t>
      </w:r>
      <w:r w:rsidR="00B06033">
        <w:rPr>
          <w:rFonts w:ascii="Arial" w:eastAsiaTheme="minorHAnsi" w:hAnsi="Arial" w:cs="Arial"/>
          <w:sz w:val="20"/>
          <w:lang w:eastAsia="en-US"/>
        </w:rPr>
        <w:t>aktu</w:t>
      </w:r>
      <w:r w:rsidR="00F4769E">
        <w:rPr>
          <w:rFonts w:ascii="Arial" w:eastAsiaTheme="minorHAnsi" w:hAnsi="Arial" w:cs="Arial"/>
          <w:sz w:val="20"/>
          <w:lang w:eastAsia="en-US"/>
        </w:rPr>
        <w:t xml:space="preserve"> </w:t>
      </w:r>
      <w:r w:rsidR="00AD6F02">
        <w:rPr>
          <w:rFonts w:ascii="Arial" w:eastAsiaTheme="minorHAnsi" w:hAnsi="Arial" w:cs="Arial"/>
          <w:sz w:val="20"/>
          <w:lang w:eastAsia="en-US"/>
        </w:rPr>
        <w:t>„Matematický model“</w:t>
      </w:r>
      <w:r w:rsidRPr="0081101F">
        <w:rPr>
          <w:rFonts w:ascii="Arial" w:eastAsiaTheme="minorHAnsi" w:hAnsi="Arial" w:cs="Arial"/>
          <w:sz w:val="20"/>
          <w:lang w:eastAsia="en-US"/>
        </w:rPr>
        <w:t>.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 Výpočet předpokládané investice na základě podané žádosti ze strany poskytovatele a celkových způsobilých</w:t>
      </w:r>
      <w:r w:rsidR="004475F4">
        <w:rPr>
          <w:rFonts w:ascii="Arial" w:eastAsiaTheme="minorHAnsi" w:hAnsi="Arial" w:cs="Arial"/>
          <w:sz w:val="20"/>
          <w:lang w:eastAsia="en-US"/>
        </w:rPr>
        <w:t xml:space="preserve"> výdajů 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je přílohou 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č. 3 </w:t>
      </w:r>
      <w:r w:rsidR="00371F8C">
        <w:rPr>
          <w:rFonts w:ascii="Arial" w:eastAsiaTheme="minorHAnsi" w:hAnsi="Arial" w:cs="Arial"/>
          <w:sz w:val="20"/>
          <w:lang w:eastAsia="en-US"/>
        </w:rPr>
        <w:t>P</w:t>
      </w:r>
      <w:r w:rsidR="007C605C">
        <w:rPr>
          <w:rFonts w:ascii="Arial" w:eastAsiaTheme="minorHAnsi" w:hAnsi="Arial" w:cs="Arial"/>
          <w:sz w:val="20"/>
          <w:lang w:eastAsia="en-US"/>
        </w:rPr>
        <w:t>ověřovacího aktu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 </w:t>
      </w:r>
      <w:r w:rsidR="00710B37">
        <w:rPr>
          <w:rFonts w:ascii="Arial" w:eastAsiaTheme="minorHAnsi" w:hAnsi="Arial" w:cs="Arial"/>
          <w:sz w:val="20"/>
          <w:lang w:eastAsia="en-US"/>
        </w:rPr>
        <w:t>„Pasporty bytu (bytů)“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32FC975A" w14:textId="7C0824C3" w:rsidR="0058680C" w:rsidRPr="003716B0" w:rsidRDefault="00597AED" w:rsidP="009E1D0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3716B0">
        <w:rPr>
          <w:rFonts w:ascii="Arial" w:eastAsiaTheme="minorHAnsi" w:hAnsi="Arial" w:cs="Arial"/>
          <w:sz w:val="20"/>
          <w:lang w:eastAsia="en-US"/>
        </w:rPr>
        <w:t>Minimální výše dotace představuje 30</w:t>
      </w:r>
      <w:r w:rsidR="005572CB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Pr="003716B0">
        <w:rPr>
          <w:rFonts w:ascii="Arial" w:eastAsiaTheme="minorHAnsi" w:hAnsi="Arial" w:cs="Arial"/>
          <w:sz w:val="20"/>
          <w:lang w:eastAsia="en-US"/>
        </w:rPr>
        <w:t>%</w:t>
      </w:r>
      <w:r w:rsidR="008E55FC" w:rsidRPr="003716B0">
        <w:rPr>
          <w:rFonts w:ascii="Arial" w:eastAsiaTheme="minorHAnsi" w:hAnsi="Arial" w:cs="Arial"/>
          <w:sz w:val="20"/>
          <w:lang w:eastAsia="en-US"/>
        </w:rPr>
        <w:t xml:space="preserve"> celkových způsobilých výdajů.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 Maximální výše dotace nesmí překročit </w:t>
      </w:r>
      <w:r w:rsidR="00032381">
        <w:rPr>
          <w:rFonts w:ascii="Arial" w:eastAsiaTheme="minorHAnsi" w:hAnsi="Arial" w:cs="Arial"/>
          <w:sz w:val="20"/>
          <w:lang w:eastAsia="en-US"/>
        </w:rPr>
        <w:t>90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%, respektive 95</w:t>
      </w:r>
      <w:r w:rsidR="00ED751F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% celkových 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>způsobilých výdajů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.</w:t>
      </w:r>
      <w:r w:rsidR="00B83DC3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1F4728D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7F6B572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9B9B20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29AE3C1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1B2047B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6D1BB1" w14:textId="77777777" w:rsidR="00B537C3" w:rsidRDefault="00B537C3" w:rsidP="00B537C3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96084E">
        <w:rPr>
          <w:rFonts w:ascii="Arial" w:hAnsi="Arial" w:cs="Arial"/>
          <w:sz w:val="20"/>
        </w:rPr>
        <w:t>Čisté ušetřené náklady</w:t>
      </w:r>
      <w:r w:rsidRPr="00B31129">
        <w:rPr>
          <w:rFonts w:ascii="Arial" w:hAnsi="Arial" w:cs="Arial"/>
          <w:sz w:val="20"/>
        </w:rPr>
        <w:t xml:space="preserve"> jsou pro potřeby </w:t>
      </w:r>
      <w:r w:rsidR="00A32DB9">
        <w:rPr>
          <w:rFonts w:ascii="Arial" w:hAnsi="Arial" w:cs="Arial"/>
          <w:sz w:val="20"/>
        </w:rPr>
        <w:t>P</w:t>
      </w:r>
      <w:r w:rsidRPr="00B31129">
        <w:rPr>
          <w:rFonts w:ascii="Arial" w:hAnsi="Arial" w:cs="Arial"/>
          <w:sz w:val="20"/>
        </w:rPr>
        <w:t>ověřovacího aktu definovány jako ušlý příjem na nájemném, tj. rozdíl mezi výnosy, které p</w:t>
      </w:r>
      <w:r w:rsidR="00397044">
        <w:rPr>
          <w:rFonts w:ascii="Arial" w:hAnsi="Arial" w:cs="Arial"/>
          <w:sz w:val="20"/>
        </w:rPr>
        <w:t xml:space="preserve">oskytovatel </w:t>
      </w:r>
      <w:r w:rsidRPr="00B31129">
        <w:rPr>
          <w:rFonts w:ascii="Arial" w:hAnsi="Arial" w:cs="Arial"/>
          <w:sz w:val="20"/>
        </w:rPr>
        <w:t>realizuje formou </w:t>
      </w:r>
      <w:r w:rsidR="002303FE">
        <w:rPr>
          <w:rFonts w:ascii="Arial" w:hAnsi="Arial" w:cs="Arial"/>
          <w:sz w:val="20"/>
        </w:rPr>
        <w:t>stanoveného</w:t>
      </w:r>
      <w:r w:rsidR="002303FE" w:rsidRPr="00B31129">
        <w:rPr>
          <w:rFonts w:ascii="Arial" w:hAnsi="Arial" w:cs="Arial"/>
          <w:sz w:val="20"/>
        </w:rPr>
        <w:t xml:space="preserve"> </w:t>
      </w:r>
      <w:r w:rsidRPr="00B31129">
        <w:rPr>
          <w:rFonts w:ascii="Arial" w:hAnsi="Arial" w:cs="Arial"/>
          <w:sz w:val="20"/>
        </w:rPr>
        <w:t>nájemného a výnosy z  tržního nájemného, které by realizoval běžný poskytovatel bydlení.</w:t>
      </w:r>
    </w:p>
    <w:p w14:paraId="34CC1CB5" w14:textId="77777777" w:rsidR="00B537C3" w:rsidRPr="00B31129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5762991" w14:textId="77777777" w:rsidR="00B537C3" w:rsidRPr="00B31129" w:rsidRDefault="008C3358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ušetřené náklady</w:t>
      </w:r>
      <w:r w:rsidR="00B537C3" w:rsidRPr="00B31129">
        <w:rPr>
          <w:rFonts w:ascii="Arial" w:hAnsi="Arial" w:cs="Arial"/>
          <w:sz w:val="20"/>
        </w:rPr>
        <w:t xml:space="preserve"> = Čisté náklady SOHZ – Čisté náklady bez SOHZ</w:t>
      </w:r>
    </w:p>
    <w:p w14:paraId="71256309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center"/>
        <w:rPr>
          <w:rFonts w:ascii="Arial" w:hAnsi="Arial" w:cs="Arial"/>
          <w:sz w:val="20"/>
        </w:rPr>
      </w:pPr>
    </w:p>
    <w:p w14:paraId="4255356C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>kde:</w:t>
      </w:r>
    </w:p>
    <w:p w14:paraId="59EF5277" w14:textId="77777777" w:rsidR="00B537C3" w:rsidRPr="004665BA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SOHZ = </w:t>
      </w:r>
      <w:r w:rsidRPr="004665BA">
        <w:rPr>
          <w:rFonts w:ascii="Arial" w:hAnsi="Arial" w:cs="Arial"/>
          <w:i/>
          <w:sz w:val="20"/>
        </w:rPr>
        <w:t>plocha v</w:t>
      </w:r>
      <w:r w:rsidR="004665BA" w:rsidRPr="004665BA">
        <w:rPr>
          <w:rFonts w:ascii="Arial" w:hAnsi="Arial" w:cs="Arial"/>
          <w:i/>
          <w:sz w:val="20"/>
        </w:rPr>
        <w:t> </w:t>
      </w:r>
      <w:r w:rsidRPr="004665BA">
        <w:rPr>
          <w:rFonts w:ascii="Arial" w:hAnsi="Arial" w:cs="Arial"/>
          <w:i/>
          <w:sz w:val="20"/>
        </w:rPr>
        <w:t>m</w:t>
      </w:r>
      <w:r w:rsidR="004665BA" w:rsidRPr="004665BA">
        <w:rPr>
          <w:rFonts w:ascii="Arial" w:hAnsi="Arial" w:cs="Arial"/>
          <w:i/>
          <w:sz w:val="20"/>
          <w:vertAlign w:val="superscript"/>
        </w:rPr>
        <w:t>2</w:t>
      </w:r>
      <w:r w:rsidRPr="004665BA">
        <w:rPr>
          <w:rFonts w:ascii="Arial" w:hAnsi="Arial" w:cs="Arial"/>
          <w:i/>
          <w:sz w:val="20"/>
        </w:rPr>
        <w:t xml:space="preserve"> x roční </w:t>
      </w:r>
      <w:r w:rsidR="002303FE">
        <w:rPr>
          <w:rFonts w:ascii="Arial" w:hAnsi="Arial" w:cs="Arial"/>
          <w:i/>
          <w:sz w:val="20"/>
        </w:rPr>
        <w:t xml:space="preserve">stanovené </w:t>
      </w:r>
      <w:r w:rsidRPr="00B31129">
        <w:rPr>
          <w:rFonts w:ascii="Arial" w:hAnsi="Arial" w:cs="Arial"/>
          <w:i/>
          <w:sz w:val="20"/>
        </w:rPr>
        <w:t>nájemné</w:t>
      </w:r>
    </w:p>
    <w:p w14:paraId="4D3B7E17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</w:p>
    <w:p w14:paraId="7E61108B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bez SOHZ = plocha </w:t>
      </w:r>
      <w:r w:rsidR="004665BA" w:rsidRPr="004665BA">
        <w:rPr>
          <w:rFonts w:ascii="Arial" w:hAnsi="Arial" w:cs="Arial"/>
          <w:i/>
          <w:sz w:val="20"/>
        </w:rPr>
        <w:t>v</w:t>
      </w:r>
      <w:r w:rsidR="004665BA">
        <w:rPr>
          <w:rFonts w:ascii="Arial" w:hAnsi="Arial" w:cs="Arial"/>
          <w:i/>
          <w:sz w:val="20"/>
        </w:rPr>
        <w:t> </w:t>
      </w:r>
      <w:r w:rsidR="004665BA" w:rsidRPr="004665BA">
        <w:rPr>
          <w:rFonts w:ascii="Arial" w:hAnsi="Arial" w:cs="Arial"/>
          <w:i/>
          <w:sz w:val="20"/>
        </w:rPr>
        <w:t>m</w:t>
      </w:r>
      <w:r w:rsidR="004665BA">
        <w:rPr>
          <w:rFonts w:ascii="Arial" w:hAnsi="Arial" w:cs="Arial"/>
          <w:i/>
          <w:sz w:val="20"/>
          <w:vertAlign w:val="superscript"/>
        </w:rPr>
        <w:t>2</w:t>
      </w:r>
      <w:r w:rsidRPr="00B31129">
        <w:rPr>
          <w:rFonts w:ascii="Arial" w:hAnsi="Arial" w:cs="Arial"/>
          <w:i/>
          <w:sz w:val="20"/>
        </w:rPr>
        <w:t xml:space="preserve"> x roční tržní nájemné</w:t>
      </w:r>
    </w:p>
    <w:p w14:paraId="6CC49CAE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4DBBA689" w14:textId="77777777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Výše poskytnuté vyrovnávací platby je stanovena jako čistá současná hodnota čistých ušetřených nákladů v daném </w:t>
      </w:r>
      <w:r w:rsidR="004C1720" w:rsidRPr="008C3358">
        <w:rPr>
          <w:rFonts w:ascii="Arial" w:hAnsi="Arial" w:cs="Arial"/>
          <w:sz w:val="20"/>
        </w:rPr>
        <w:t>období</w:t>
      </w:r>
      <w:r w:rsidRPr="008C3358">
        <w:rPr>
          <w:rFonts w:ascii="Arial" w:hAnsi="Arial" w:cs="Arial"/>
          <w:sz w:val="20"/>
        </w:rPr>
        <w:t xml:space="preserve">, a to na základě plánovaných nákladů a výnosů v době schvalování </w:t>
      </w:r>
      <w:r w:rsidR="0058680C" w:rsidRPr="008C3358">
        <w:rPr>
          <w:rFonts w:ascii="Arial" w:hAnsi="Arial" w:cs="Arial"/>
          <w:sz w:val="20"/>
        </w:rPr>
        <w:t>žádosti o podporu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</w:p>
    <w:p w14:paraId="32F0C231" w14:textId="77777777" w:rsidR="00593BC4" w:rsidRPr="008C3358" w:rsidRDefault="00593BC4" w:rsidP="00B82EBD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Výsledná </w:t>
      </w:r>
      <w:r w:rsidR="00483D0F" w:rsidRPr="008C3358">
        <w:rPr>
          <w:rFonts w:ascii="Arial" w:hAnsi="Arial" w:cs="Arial"/>
          <w:sz w:val="20"/>
        </w:rPr>
        <w:t xml:space="preserve">doba účinnosti </w:t>
      </w:r>
      <w:r w:rsidRPr="008C3358">
        <w:rPr>
          <w:rFonts w:ascii="Arial" w:hAnsi="Arial" w:cs="Arial"/>
          <w:sz w:val="20"/>
        </w:rPr>
        <w:t xml:space="preserve">pověření může být upravena na základě žádosti </w:t>
      </w:r>
      <w:r w:rsidR="003716B0" w:rsidRPr="008C3358">
        <w:rPr>
          <w:rFonts w:ascii="Arial" w:hAnsi="Arial" w:cs="Arial"/>
          <w:sz w:val="20"/>
        </w:rPr>
        <w:t>po</w:t>
      </w:r>
      <w:r w:rsidRPr="008C3358">
        <w:rPr>
          <w:rFonts w:ascii="Arial" w:hAnsi="Arial" w:cs="Arial"/>
          <w:sz w:val="20"/>
        </w:rPr>
        <w:t>dle skutečné výše proplacené dotace</w:t>
      </w:r>
      <w:r w:rsidR="00E74939">
        <w:rPr>
          <w:rFonts w:ascii="Arial" w:hAnsi="Arial" w:cs="Arial"/>
          <w:sz w:val="20"/>
        </w:rPr>
        <w:t xml:space="preserve"> a na základě skutečného harmonogramu realizace akce</w:t>
      </w:r>
      <w:r w:rsidRPr="008C3358">
        <w:rPr>
          <w:rFonts w:ascii="Arial" w:hAnsi="Arial" w:cs="Arial"/>
          <w:sz w:val="20"/>
        </w:rPr>
        <w:t xml:space="preserve">. </w:t>
      </w:r>
    </w:p>
    <w:p w14:paraId="5956A545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lastRenderedPageBreak/>
        <w:t xml:space="preserve">Vstupní data pro vyhodnocení </w:t>
      </w:r>
      <w:r>
        <w:rPr>
          <w:rFonts w:ascii="Arial" w:hAnsi="Arial" w:cs="Arial"/>
          <w:sz w:val="20"/>
        </w:rPr>
        <w:t>vyrovnávací platby</w:t>
      </w:r>
      <w:r w:rsidRPr="00F27AC6">
        <w:rPr>
          <w:rFonts w:ascii="Arial" w:hAnsi="Arial" w:cs="Arial"/>
          <w:sz w:val="20"/>
        </w:rPr>
        <w:t xml:space="preserve"> jsou součástí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 v </w:t>
      </w:r>
      <w:r w:rsidR="004475F4">
        <w:rPr>
          <w:rFonts w:ascii="Arial" w:hAnsi="Arial" w:cs="Arial"/>
          <w:sz w:val="20"/>
        </w:rPr>
        <w:t xml:space="preserve">Příloze č. </w:t>
      </w:r>
      <w:r w:rsidR="001E2C8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„Pasporty byt</w:t>
      </w:r>
      <w:r w:rsidR="003B176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>“</w:t>
      </w:r>
      <w:r w:rsidR="0015128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Počet pasportů v příloze č. </w:t>
      </w:r>
      <w:r w:rsidR="001E2C85">
        <w:rPr>
          <w:rFonts w:ascii="Arial" w:hAnsi="Arial" w:cs="Arial"/>
          <w:sz w:val="20"/>
        </w:rPr>
        <w:t>3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odpovídá počtu </w:t>
      </w:r>
      <w:r w:rsidR="00151287">
        <w:rPr>
          <w:rFonts w:ascii="Arial" w:hAnsi="Arial" w:cs="Arial"/>
          <w:sz w:val="20"/>
        </w:rPr>
        <w:t>souborů bytů</w:t>
      </w:r>
      <w:r w:rsidR="00E10677">
        <w:rPr>
          <w:rFonts w:ascii="Arial" w:hAnsi="Arial" w:cs="Arial"/>
          <w:sz w:val="20"/>
        </w:rPr>
        <w:t xml:space="preserve">, kdy v jednom souboru jsou byty </w:t>
      </w:r>
      <w:r w:rsidR="009571CD">
        <w:rPr>
          <w:rFonts w:ascii="Arial" w:hAnsi="Arial" w:cs="Arial"/>
          <w:sz w:val="20"/>
        </w:rPr>
        <w:t>vstupující do užívání ve stejný kalendářní měsíc</w:t>
      </w:r>
      <w:r w:rsidR="003E5F63">
        <w:rPr>
          <w:rFonts w:ascii="Arial" w:hAnsi="Arial" w:cs="Arial"/>
          <w:sz w:val="20"/>
        </w:rPr>
        <w:t>.</w:t>
      </w:r>
    </w:p>
    <w:p w14:paraId="6C0F2F3E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Každ</w:t>
      </w:r>
      <w:r w:rsidR="001E2C85">
        <w:rPr>
          <w:rFonts w:ascii="Arial" w:hAnsi="Arial" w:cs="Arial"/>
          <w:sz w:val="20"/>
        </w:rPr>
        <w:t xml:space="preserve">ý byt (byty) </w:t>
      </w:r>
      <w:r w:rsidRPr="00F27AC6">
        <w:rPr>
          <w:rFonts w:ascii="Arial" w:hAnsi="Arial" w:cs="Arial"/>
          <w:sz w:val="20"/>
        </w:rPr>
        <w:t>je v</w:t>
      </w:r>
      <w:r>
        <w:rPr>
          <w:rFonts w:ascii="Arial" w:hAnsi="Arial" w:cs="Arial"/>
          <w:sz w:val="20"/>
        </w:rPr>
        <w:t xml:space="preserve"> pasportu </w:t>
      </w:r>
      <w:r w:rsidRPr="00F27AC6">
        <w:rPr>
          <w:rFonts w:ascii="Arial" w:hAnsi="Arial" w:cs="Arial"/>
          <w:sz w:val="20"/>
        </w:rPr>
        <w:t>popsán následujícími daty:</w:t>
      </w:r>
    </w:p>
    <w:p w14:paraId="1D943BEF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Umístění byt</w:t>
      </w:r>
      <w:r w:rsidR="004012A6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(adresa</w:t>
      </w:r>
      <w:r>
        <w:rPr>
          <w:rFonts w:ascii="Arial" w:hAnsi="Arial" w:cs="Arial"/>
          <w:sz w:val="20"/>
        </w:rPr>
        <w:t xml:space="preserve"> a</w:t>
      </w:r>
      <w:r w:rsidRPr="00F27AC6">
        <w:rPr>
          <w:rFonts w:ascii="Arial" w:hAnsi="Arial" w:cs="Arial"/>
          <w:sz w:val="20"/>
        </w:rPr>
        <w:t xml:space="preserve"> číslo bytu)</w:t>
      </w:r>
      <w:r>
        <w:rPr>
          <w:rFonts w:ascii="Arial" w:hAnsi="Arial" w:cs="Arial"/>
          <w:sz w:val="20"/>
        </w:rPr>
        <w:t xml:space="preserve">, u </w:t>
      </w:r>
      <w:r w:rsidR="004012A6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 v témže objektu (adresa a čísla či jiné identifikace jednotlivých bytů).</w:t>
      </w:r>
    </w:p>
    <w:p w14:paraId="5ACC1491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Podlahová plocha </w:t>
      </w:r>
      <w:r>
        <w:rPr>
          <w:rFonts w:ascii="Arial" w:hAnsi="Arial" w:cs="Arial"/>
          <w:sz w:val="20"/>
        </w:rPr>
        <w:t xml:space="preserve">v metrech čtverečních, </w:t>
      </w:r>
      <w:r w:rsidRPr="00F27AC6">
        <w:rPr>
          <w:rFonts w:ascii="Arial" w:hAnsi="Arial" w:cs="Arial"/>
          <w:sz w:val="20"/>
        </w:rPr>
        <w:t xml:space="preserve">rozhodující pro výpočet </w:t>
      </w:r>
      <w:r>
        <w:rPr>
          <w:rFonts w:ascii="Arial" w:hAnsi="Arial" w:cs="Arial"/>
          <w:sz w:val="20"/>
        </w:rPr>
        <w:t>vyrovnávací platby.</w:t>
      </w:r>
    </w:p>
    <w:p w14:paraId="623DE939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Tržní nájemné určené</w:t>
      </w:r>
      <w:r w:rsidRPr="00F27AC6">
        <w:rPr>
          <w:rFonts w:ascii="Arial" w:hAnsi="Arial" w:cs="Arial"/>
          <w:sz w:val="20"/>
        </w:rPr>
        <w:t xml:space="preserve"> pro </w:t>
      </w:r>
      <w:r w:rsidR="004012A6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>.</w:t>
      </w:r>
    </w:p>
    <w:p w14:paraId="7C2914C8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Stanovené n</w:t>
      </w:r>
      <w:r w:rsidRPr="00F27AC6">
        <w:rPr>
          <w:rFonts w:ascii="Arial" w:hAnsi="Arial" w:cs="Arial"/>
          <w:sz w:val="20"/>
        </w:rPr>
        <w:t xml:space="preserve">ájemné </w:t>
      </w:r>
      <w:r>
        <w:rPr>
          <w:rFonts w:ascii="Arial" w:hAnsi="Arial" w:cs="Arial"/>
          <w:sz w:val="20"/>
        </w:rPr>
        <w:t xml:space="preserve">určené </w:t>
      </w:r>
      <w:r w:rsidRPr="00F27AC6">
        <w:rPr>
          <w:rFonts w:ascii="Arial" w:hAnsi="Arial" w:cs="Arial"/>
          <w:sz w:val="20"/>
        </w:rPr>
        <w:t>poskytovatelem pro byt</w:t>
      </w:r>
      <w:r w:rsidR="004012A6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>.</w:t>
      </w:r>
    </w:p>
    <w:p w14:paraId="4F0F3E22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Poměrná část vynaložených celkových </w:t>
      </w:r>
      <w:r>
        <w:rPr>
          <w:rFonts w:ascii="Arial" w:hAnsi="Arial" w:cs="Arial"/>
          <w:sz w:val="20"/>
        </w:rPr>
        <w:t xml:space="preserve">způsobilých výdajů </w:t>
      </w:r>
      <w:r w:rsidRPr="00F27AC6">
        <w:rPr>
          <w:rFonts w:ascii="Arial" w:hAnsi="Arial" w:cs="Arial"/>
          <w:sz w:val="20"/>
        </w:rPr>
        <w:t>na byt</w:t>
      </w:r>
      <w:r w:rsidR="004012A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4012A6">
        <w:rPr>
          <w:rFonts w:ascii="Arial" w:hAnsi="Arial" w:cs="Arial"/>
          <w:sz w:val="20"/>
        </w:rPr>
        <w:t>byty</w:t>
      </w:r>
      <w:r>
        <w:rPr>
          <w:rFonts w:ascii="Arial" w:hAnsi="Arial" w:cs="Arial"/>
          <w:sz w:val="20"/>
        </w:rPr>
        <w:t>)</w:t>
      </w:r>
      <w:r w:rsidRPr="00F27AC6">
        <w:rPr>
          <w:rFonts w:ascii="Arial" w:hAnsi="Arial" w:cs="Arial"/>
          <w:sz w:val="20"/>
        </w:rPr>
        <w:t>. Poměrná část se odvodí od poměru podlahové plochy dané</w:t>
      </w:r>
      <w:r w:rsidR="00027677">
        <w:rPr>
          <w:rFonts w:ascii="Arial" w:hAnsi="Arial" w:cs="Arial"/>
          <w:sz w:val="20"/>
        </w:rPr>
        <w:t>ho</w:t>
      </w:r>
      <w:r w:rsidRPr="00F27AC6">
        <w:rPr>
          <w:rFonts w:ascii="Arial" w:hAnsi="Arial" w:cs="Arial"/>
          <w:sz w:val="20"/>
        </w:rPr>
        <w:t xml:space="preserve"> byt</w:t>
      </w:r>
      <w:r w:rsidR="00027677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(součtu podlahových ploch </w:t>
      </w:r>
      <w:r w:rsidR="00027677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) </w:t>
      </w:r>
      <w:r w:rsidRPr="00F27AC6">
        <w:rPr>
          <w:rFonts w:ascii="Arial" w:hAnsi="Arial" w:cs="Arial"/>
          <w:sz w:val="20"/>
        </w:rPr>
        <w:t xml:space="preserve">a celkového součtu podlahových ploch </w:t>
      </w:r>
      <w:r>
        <w:rPr>
          <w:rFonts w:ascii="Arial" w:hAnsi="Arial" w:cs="Arial"/>
          <w:sz w:val="20"/>
        </w:rPr>
        <w:t>všech byt</w:t>
      </w:r>
      <w:r w:rsidR="00027677">
        <w:rPr>
          <w:rFonts w:ascii="Arial" w:hAnsi="Arial" w:cs="Arial"/>
          <w:sz w:val="20"/>
        </w:rPr>
        <w:t>ů</w:t>
      </w:r>
      <w:r w:rsidR="00AC0B63">
        <w:rPr>
          <w:rFonts w:ascii="Arial" w:hAnsi="Arial" w:cs="Arial"/>
          <w:sz w:val="20"/>
        </w:rPr>
        <w:t>,</w:t>
      </w:r>
      <w:r w:rsidRPr="00F27AC6">
        <w:rPr>
          <w:rFonts w:ascii="Arial" w:hAnsi="Arial" w:cs="Arial"/>
          <w:sz w:val="20"/>
        </w:rPr>
        <w:t xml:space="preserve"> které jsou předmětem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aktu.</w:t>
      </w:r>
    </w:p>
    <w:p w14:paraId="16CF7366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Doba účinnosti</w:t>
      </w:r>
      <w:r w:rsidRPr="00F27AC6">
        <w:rPr>
          <w:rFonts w:ascii="Arial" w:hAnsi="Arial" w:cs="Arial"/>
          <w:sz w:val="20"/>
        </w:rPr>
        <w:t xml:space="preserve"> pověření pro </w:t>
      </w:r>
      <w:r w:rsidR="00027677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 xml:space="preserve"> na základě individuálního výpočtu (viz článek III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 xml:space="preserve">ověřovacího aktu); do výpočtu vstupují </w:t>
      </w:r>
      <w:r>
        <w:rPr>
          <w:rFonts w:ascii="Arial" w:hAnsi="Arial" w:cs="Arial"/>
          <w:sz w:val="20"/>
        </w:rPr>
        <w:t xml:space="preserve">tržní </w:t>
      </w:r>
      <w:r w:rsidRPr="00F27AC6">
        <w:rPr>
          <w:rFonts w:ascii="Arial" w:hAnsi="Arial" w:cs="Arial"/>
          <w:sz w:val="20"/>
        </w:rPr>
        <w:t>nájemné vztažené k podlahové ploše, nájemné stanovené a poměrná část vynaložených</w:t>
      </w:r>
      <w:r>
        <w:rPr>
          <w:rFonts w:ascii="Arial" w:hAnsi="Arial" w:cs="Arial"/>
          <w:sz w:val="20"/>
        </w:rPr>
        <w:t xml:space="preserve"> způsobilých výdajů</w:t>
      </w:r>
      <w:r w:rsidRPr="00F27AC6">
        <w:rPr>
          <w:rFonts w:ascii="Arial" w:hAnsi="Arial" w:cs="Arial"/>
          <w:sz w:val="20"/>
        </w:rPr>
        <w:t>.</w:t>
      </w:r>
    </w:p>
    <w:p w14:paraId="2F8AC9C0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7A6A9F57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76FCF94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77B4E16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606F7C5B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30028B26" w14:textId="77777777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A78A1">
        <w:rPr>
          <w:rFonts w:ascii="Arial" w:hAnsi="Arial" w:cs="Arial"/>
          <w:sz w:val="20"/>
        </w:rPr>
        <w:t>dvanácti</w:t>
      </w:r>
      <w:r w:rsidR="00215691">
        <w:rPr>
          <w:rFonts w:ascii="Arial" w:hAnsi="Arial" w:cs="Arial"/>
          <w:sz w:val="20"/>
        </w:rPr>
        <w:t xml:space="preserve">měsíčních </w:t>
      </w:r>
      <w:r>
        <w:rPr>
          <w:rFonts w:ascii="Arial" w:hAnsi="Arial" w:cs="Arial"/>
          <w:sz w:val="20"/>
        </w:rPr>
        <w:t>cyklech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8C3358">
        <w:rPr>
          <w:rFonts w:ascii="Arial" w:hAnsi="Arial" w:cs="Arial"/>
          <w:sz w:val="20"/>
        </w:rPr>
        <w:t xml:space="preserve">6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6CA0ED58" w14:textId="77777777" w:rsidR="00AC364C" w:rsidRDefault="00AC364C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Vyrovnávací platba</w:t>
      </w:r>
      <w:r w:rsidR="00F27AC6" w:rsidRPr="00F27AC6">
        <w:rPr>
          <w:rFonts w:ascii="Arial" w:hAnsi="Arial" w:cs="Arial"/>
          <w:sz w:val="20"/>
        </w:rPr>
        <w:t xml:space="preserve"> se vztahuje na každ</w:t>
      </w:r>
      <w:r w:rsidR="00027677">
        <w:rPr>
          <w:rFonts w:ascii="Arial" w:hAnsi="Arial" w:cs="Arial"/>
          <w:sz w:val="20"/>
        </w:rPr>
        <w:t>ý byt (byty)</w:t>
      </w:r>
      <w:r>
        <w:rPr>
          <w:rFonts w:ascii="Arial" w:hAnsi="Arial" w:cs="Arial"/>
          <w:sz w:val="20"/>
        </w:rPr>
        <w:t xml:space="preserve"> </w:t>
      </w:r>
      <w:r w:rsidR="00C40CA1">
        <w:rPr>
          <w:rFonts w:ascii="Arial" w:hAnsi="Arial" w:cs="Arial"/>
          <w:sz w:val="20"/>
        </w:rPr>
        <w:t>samostatně</w:t>
      </w:r>
      <w:r w:rsidR="00F27AC6" w:rsidRPr="00F27AC6">
        <w:rPr>
          <w:rFonts w:ascii="Arial" w:hAnsi="Arial" w:cs="Arial"/>
          <w:sz w:val="20"/>
        </w:rPr>
        <w:t>.</w:t>
      </w:r>
    </w:p>
    <w:p w14:paraId="74BE402D" w14:textId="77777777" w:rsidR="00AC364C" w:rsidRPr="00B31129" w:rsidRDefault="00AC364C" w:rsidP="000D1B74">
      <w:pPr>
        <w:pStyle w:val="Odstavecseseznamem"/>
        <w:numPr>
          <w:ilvl w:val="0"/>
          <w:numId w:val="20"/>
        </w:num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bude porovnávána skutečná a plánovaná výše vyrovnávací platby, tj. porovnání výše skutečně realizovaných a plánovaných čistých ušetřených nákladů,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 xml:space="preserve">V rámci kontroly celkové vyrovnávací platby </w:t>
      </w:r>
      <w:r w:rsidRPr="00B31129">
        <w:rPr>
          <w:rFonts w:ascii="Arial" w:hAnsi="Arial" w:cs="Arial"/>
          <w:sz w:val="20"/>
        </w:rPr>
        <w:t xml:space="preserve">bude porovnávána současná hodnota </w:t>
      </w:r>
      <w:r w:rsidR="008C3358">
        <w:rPr>
          <w:rFonts w:ascii="Arial" w:hAnsi="Arial" w:cs="Arial"/>
          <w:sz w:val="20"/>
        </w:rPr>
        <w:t xml:space="preserve">celkové </w:t>
      </w:r>
      <w:r w:rsidRPr="00B31129">
        <w:rPr>
          <w:rFonts w:ascii="Arial" w:hAnsi="Arial" w:cs="Arial"/>
          <w:sz w:val="20"/>
        </w:rPr>
        <w:t xml:space="preserve">poskytnuté dotace a suma čisté současné hodnoty </w:t>
      </w:r>
      <w:r w:rsidR="008C3358">
        <w:rPr>
          <w:rFonts w:ascii="Arial" w:hAnsi="Arial" w:cs="Arial"/>
          <w:sz w:val="20"/>
        </w:rPr>
        <w:t xml:space="preserve">všech </w:t>
      </w:r>
      <w:r w:rsidRPr="00B31129">
        <w:rPr>
          <w:rFonts w:ascii="Arial" w:hAnsi="Arial" w:cs="Arial"/>
          <w:sz w:val="20"/>
        </w:rPr>
        <w:t>poskytnutých vyrovnávacích plateb</w:t>
      </w:r>
      <w:r>
        <w:rPr>
          <w:rFonts w:ascii="Arial" w:hAnsi="Arial" w:cs="Arial"/>
          <w:sz w:val="20"/>
        </w:rPr>
        <w:t xml:space="preserve"> po</w:t>
      </w:r>
      <w:r w:rsidRPr="00B31129">
        <w:rPr>
          <w:rFonts w:ascii="Arial" w:hAnsi="Arial" w:cs="Arial"/>
          <w:sz w:val="20"/>
        </w:rPr>
        <w:t>dle následujícího výpočtu</w:t>
      </w:r>
      <w:r w:rsidRPr="00B31129">
        <w:rPr>
          <w:rStyle w:val="Znakapoznpodarou"/>
          <w:rFonts w:ascii="Arial" w:hAnsi="Arial" w:cs="Arial"/>
          <w:sz w:val="20"/>
        </w:rPr>
        <w:footnoteReference w:id="3"/>
      </w:r>
      <w:r w:rsidRPr="00B31129">
        <w:rPr>
          <w:rFonts w:ascii="Arial" w:hAnsi="Arial" w:cs="Arial"/>
          <w:sz w:val="20"/>
        </w:rPr>
        <w:t xml:space="preserve">: </w:t>
      </w:r>
    </w:p>
    <w:p w14:paraId="41B0FE40" w14:textId="77777777" w:rsidR="00AC364C" w:rsidRPr="00B31129" w:rsidRDefault="00AC364C" w:rsidP="000D1B74">
      <w:pPr>
        <w:pStyle w:val="Odstavecseseznamem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  <w:highlight w:val="yellow"/>
        </w:rPr>
        <w:t xml:space="preserve">               </w:t>
      </w:r>
      <w:r w:rsidRPr="00BF133B">
        <w:rPr>
          <w:rFonts w:ascii="Arial" w:hAnsi="Arial" w:cs="Arial"/>
          <w:i/>
          <w:noProof/>
          <w:sz w:val="13"/>
          <w:szCs w:val="13"/>
        </w:rPr>
        <w:drawing>
          <wp:inline distT="0" distB="0" distL="0" distR="0" wp14:anchorId="27D60258" wp14:editId="5824B5A5">
            <wp:extent cx="5175250" cy="565150"/>
            <wp:effectExtent l="19050" t="19050" r="25400" b="254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5651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E16B97D" w14:textId="77777777" w:rsidR="00AC364C" w:rsidRPr="00056E05" w:rsidRDefault="00AC364C" w:rsidP="000D1B74">
      <w:pPr>
        <w:ind w:left="720"/>
        <w:rPr>
          <w:rFonts w:ascii="Arial" w:hAnsi="Arial" w:cs="Arial"/>
          <w:sz w:val="20"/>
        </w:rPr>
      </w:pPr>
    </w:p>
    <w:p w14:paraId="08D6BAE4" w14:textId="77777777" w:rsidR="00F27AC6" w:rsidRPr="00F27AC6" w:rsidRDefault="00F27AC6" w:rsidP="000D1B74">
      <w:pPr>
        <w:pStyle w:val="Odstavecseseznamem"/>
        <w:spacing w:after="200" w:line="276" w:lineRule="auto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 </w:t>
      </w:r>
    </w:p>
    <w:p w14:paraId="30CC856F" w14:textId="77777777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 xml:space="preserve">SOHZ sociálního bydlení. </w:t>
      </w:r>
      <w:r w:rsidR="007D5847">
        <w:rPr>
          <w:rFonts w:ascii="Arial" w:hAnsi="Arial" w:cs="Arial"/>
          <w:sz w:val="20"/>
        </w:rPr>
        <w:t>D</w:t>
      </w:r>
      <w:r w:rsidRPr="00F27AC6">
        <w:rPr>
          <w:rFonts w:ascii="Arial" w:hAnsi="Arial" w:cs="Arial"/>
          <w:sz w:val="20"/>
        </w:rPr>
        <w:t>oba pověření pro byt</w:t>
      </w:r>
      <w:r w:rsidR="00AC387F">
        <w:rPr>
          <w:rFonts w:ascii="Arial" w:hAnsi="Arial" w:cs="Arial"/>
          <w:sz w:val="20"/>
        </w:rPr>
        <w:t xml:space="preserve"> (byty)</w:t>
      </w:r>
      <w:r w:rsidR="007D5847">
        <w:rPr>
          <w:rFonts w:ascii="Arial" w:hAnsi="Arial" w:cs="Arial"/>
          <w:sz w:val="20"/>
        </w:rPr>
        <w:t xml:space="preserve"> se odvíjí od prvního dne následujícího měsíce, kdy </w:t>
      </w:r>
      <w:r w:rsidR="009A1466">
        <w:rPr>
          <w:rFonts w:ascii="Arial" w:hAnsi="Arial" w:cs="Arial"/>
          <w:sz w:val="20"/>
        </w:rPr>
        <w:t>jej</w:t>
      </w:r>
      <w:r w:rsidR="007D5847">
        <w:rPr>
          <w:rFonts w:ascii="Arial" w:hAnsi="Arial" w:cs="Arial"/>
          <w:sz w:val="20"/>
        </w:rPr>
        <w:t xml:space="preserve"> bylo možné pronajmout pro účely SOHZ sociálního bydlení</w:t>
      </w:r>
      <w:r w:rsidRPr="00F27AC6">
        <w:rPr>
          <w:rFonts w:ascii="Arial" w:hAnsi="Arial" w:cs="Arial"/>
          <w:sz w:val="20"/>
        </w:rPr>
        <w:t>.</w:t>
      </w:r>
    </w:p>
    <w:p w14:paraId="3127CD8A" w14:textId="77777777" w:rsidR="00E8429E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eastAsiaTheme="minorHAnsi" w:hAnsi="Arial" w:cs="Arial"/>
          <w:sz w:val="20"/>
          <w:lang w:eastAsia="en-US"/>
        </w:rPr>
      </w:pPr>
      <w:r w:rsidRPr="00F27AC6">
        <w:rPr>
          <w:rFonts w:ascii="Arial" w:hAnsi="Arial" w:cs="Arial"/>
          <w:sz w:val="20"/>
        </w:rPr>
        <w:t>V případě, že byt není obsazen, pro potřeby vyhodnocení se má za to, že poskytovatel</w:t>
      </w:r>
      <w:r w:rsidR="00A74974" w:rsidRPr="00F27AC6">
        <w:rPr>
          <w:rFonts w:ascii="Arial" w:hAnsi="Arial" w:cs="Arial"/>
          <w:sz w:val="20"/>
        </w:rPr>
        <w:t xml:space="preserve"> </w:t>
      </w:r>
      <w:r w:rsidRPr="00F27AC6">
        <w:rPr>
          <w:rFonts w:ascii="Arial" w:hAnsi="Arial" w:cs="Arial"/>
          <w:sz w:val="20"/>
        </w:rPr>
        <w:t xml:space="preserve">i tak </w:t>
      </w:r>
      <w:r w:rsidR="001F0D2E">
        <w:rPr>
          <w:rFonts w:ascii="Arial" w:hAnsi="Arial" w:cs="Arial"/>
          <w:sz w:val="20"/>
        </w:rPr>
        <w:t xml:space="preserve">pravidelně </w:t>
      </w:r>
      <w:r w:rsidR="00710B37">
        <w:rPr>
          <w:rFonts w:ascii="Arial" w:hAnsi="Arial" w:cs="Arial"/>
          <w:sz w:val="20"/>
        </w:rPr>
        <w:t xml:space="preserve">inkasuje </w:t>
      </w:r>
      <w:r w:rsidRPr="00F27AC6">
        <w:rPr>
          <w:rFonts w:ascii="Arial" w:hAnsi="Arial" w:cs="Arial"/>
          <w:sz w:val="20"/>
        </w:rPr>
        <w:t>stanovené nájemné.</w:t>
      </w:r>
      <w:r w:rsidR="009317B1">
        <w:rPr>
          <w:rFonts w:ascii="Arial" w:hAnsi="Arial" w:cs="Arial"/>
          <w:sz w:val="20"/>
        </w:rPr>
        <w:t xml:space="preserve"> </w:t>
      </w:r>
      <w:r w:rsidRPr="002303FE">
        <w:rPr>
          <w:rFonts w:ascii="Arial" w:hAnsi="Arial" w:cs="Arial"/>
          <w:sz w:val="20"/>
        </w:rPr>
        <w:t xml:space="preserve">Pokud byt není obsazen déle než 3 měsíce (lhůta se počítá vždy od prvního dne nejbližšího měsíce po </w:t>
      </w:r>
      <w:r w:rsidR="007D5847">
        <w:rPr>
          <w:rFonts w:ascii="Arial" w:hAnsi="Arial" w:cs="Arial"/>
          <w:sz w:val="20"/>
        </w:rPr>
        <w:t xml:space="preserve">faktickém </w:t>
      </w:r>
      <w:r w:rsidRPr="002303FE">
        <w:rPr>
          <w:rFonts w:ascii="Arial" w:hAnsi="Arial" w:cs="Arial"/>
          <w:sz w:val="20"/>
        </w:rPr>
        <w:t xml:space="preserve">uvolnění bytu), </w:t>
      </w:r>
      <w:r w:rsidRPr="00957A8A">
        <w:rPr>
          <w:rFonts w:ascii="Arial" w:hAnsi="Arial" w:cs="Arial"/>
          <w:sz w:val="20"/>
        </w:rPr>
        <w:t xml:space="preserve">prodlužuje </w:t>
      </w:r>
      <w:r w:rsidR="00710B37">
        <w:rPr>
          <w:rFonts w:ascii="Arial" w:hAnsi="Arial" w:cs="Arial"/>
          <w:sz w:val="20"/>
        </w:rPr>
        <w:t xml:space="preserve">se </w:t>
      </w:r>
      <w:r w:rsidRPr="00957A8A">
        <w:rPr>
          <w:rFonts w:ascii="Arial" w:hAnsi="Arial" w:cs="Arial"/>
          <w:sz w:val="20"/>
        </w:rPr>
        <w:t>délka pověření pro dan</w:t>
      </w:r>
      <w:r w:rsidR="00AC387F" w:rsidRPr="00957A8A">
        <w:rPr>
          <w:rFonts w:ascii="Arial" w:hAnsi="Arial" w:cs="Arial"/>
          <w:sz w:val="20"/>
        </w:rPr>
        <w:t>ý byt</w:t>
      </w:r>
      <w:r w:rsidR="00710B37">
        <w:rPr>
          <w:rFonts w:ascii="Arial" w:hAnsi="Arial" w:cs="Arial"/>
          <w:sz w:val="20"/>
        </w:rPr>
        <w:t xml:space="preserve"> o každý měsíc nad tuto lhůtu</w:t>
      </w:r>
      <w:r w:rsidRPr="00957A8A">
        <w:rPr>
          <w:rFonts w:ascii="Arial" w:hAnsi="Arial" w:cs="Arial"/>
          <w:sz w:val="20"/>
        </w:rPr>
        <w:t>, přičemž se započítává každý započatý měsíc. Součástí prodloužené lhůty pověření je odpovídající přepočet</w:t>
      </w:r>
      <w:r w:rsidRPr="00AC364C">
        <w:rPr>
          <w:rFonts w:ascii="Arial" w:hAnsi="Arial" w:cs="Arial"/>
          <w:sz w:val="20"/>
        </w:rPr>
        <w:t xml:space="preserve"> </w:t>
      </w:r>
      <w:r w:rsidR="00E8429E">
        <w:rPr>
          <w:rFonts w:ascii="Arial" w:hAnsi="Arial" w:cs="Arial"/>
          <w:sz w:val="20"/>
        </w:rPr>
        <w:t>vyrovnávací platby</w:t>
      </w:r>
      <w:r w:rsidRPr="00AC364C">
        <w:rPr>
          <w:rFonts w:ascii="Arial" w:hAnsi="Arial" w:cs="Arial"/>
          <w:sz w:val="20"/>
        </w:rPr>
        <w:t>.</w:t>
      </w:r>
      <w:r w:rsidR="002303FE" w:rsidRPr="00AC364C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5F04F548" w14:textId="77777777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5A78A1">
        <w:rPr>
          <w:rFonts w:ascii="Arial" w:eastAsiaTheme="minorHAnsi" w:hAnsi="Arial" w:cs="Arial"/>
          <w:sz w:val="20"/>
          <w:lang w:eastAsia="en-US"/>
        </w:rPr>
        <w:t>dvanácti</w:t>
      </w:r>
      <w:r w:rsidR="00215691" w:rsidRPr="00BF133B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 (inkasovaného </w:t>
      </w:r>
      <w:r w:rsidR="00E8429E">
        <w:rPr>
          <w:rFonts w:ascii="Arial" w:eastAsiaTheme="minorHAnsi" w:hAnsi="Arial" w:cs="Arial"/>
          <w:sz w:val="20"/>
          <w:lang w:eastAsia="en-US"/>
        </w:rPr>
        <w:t>stanoveného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nájemného, výše </w:t>
      </w:r>
      <w:r w:rsidR="00E8429E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nájemného, povýšeného o předpokládaný nárůst).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Pokud v rámci vyhodnocovaného </w:t>
      </w:r>
      <w:r w:rsidR="009A1466">
        <w:rPr>
          <w:rFonts w:ascii="Arial" w:eastAsiaTheme="minorHAnsi" w:hAnsi="Arial" w:cs="Arial"/>
          <w:sz w:val="20"/>
          <w:lang w:eastAsia="en-US"/>
        </w:rPr>
        <w:t>dvanácti</w:t>
      </w:r>
      <w:r w:rsidR="00215691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cyklu poskytovatel </w:t>
      </w:r>
      <w:r w:rsidR="00710B37">
        <w:rPr>
          <w:rFonts w:ascii="Arial" w:eastAsiaTheme="minorHAnsi" w:hAnsi="Arial" w:cs="Arial"/>
          <w:sz w:val="20"/>
          <w:lang w:eastAsia="en-US"/>
        </w:rPr>
        <w:t xml:space="preserve">neinkasoval </w:t>
      </w:r>
      <w:r w:rsidR="006E4EE5">
        <w:rPr>
          <w:rFonts w:ascii="Arial" w:eastAsiaTheme="minorHAnsi" w:hAnsi="Arial" w:cs="Arial"/>
          <w:sz w:val="20"/>
          <w:lang w:eastAsia="en-US"/>
        </w:rPr>
        <w:t>zaplacené stanovené nájemné</w:t>
      </w:r>
      <w:r w:rsidR="009F1984">
        <w:rPr>
          <w:rFonts w:ascii="Arial" w:eastAsiaTheme="minorHAnsi" w:hAnsi="Arial" w:cs="Arial"/>
          <w:sz w:val="20"/>
          <w:lang w:eastAsia="en-US"/>
        </w:rPr>
        <w:t>,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ač byl</w:t>
      </w:r>
      <w:r w:rsidR="00361A60">
        <w:rPr>
          <w:rFonts w:ascii="Arial" w:eastAsiaTheme="minorHAnsi" w:hAnsi="Arial" w:cs="Arial"/>
          <w:sz w:val="20"/>
          <w:lang w:eastAsia="en-US"/>
        </w:rPr>
        <w:t xml:space="preserve"> byt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</w:t>
      </w:r>
      <w:r w:rsidR="00664ED2">
        <w:rPr>
          <w:rFonts w:ascii="Arial" w:eastAsiaTheme="minorHAnsi" w:hAnsi="Arial" w:cs="Arial"/>
          <w:sz w:val="20"/>
          <w:lang w:eastAsia="en-US"/>
        </w:rPr>
        <w:lastRenderedPageBreak/>
        <w:t>pronajat</w:t>
      </w:r>
      <w:r w:rsidR="006E4EE5">
        <w:rPr>
          <w:rFonts w:ascii="Arial" w:eastAsiaTheme="minorHAnsi" w:hAnsi="Arial" w:cs="Arial"/>
          <w:sz w:val="20"/>
          <w:lang w:eastAsia="en-US"/>
        </w:rPr>
        <w:t>, má se pro potřeby výpočtu, jako by je dostal. Případné následné vymožení dlužného stanoveného nájemného se již do výpočtu vyhodnocení vyrovnávací platby nezahrnuje.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  </w:t>
      </w:r>
    </w:p>
    <w:p w14:paraId="5C42B64D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poskytovatel obdržel vyrovnávací platbu převyšující rozsah nezbytný k pokrytí čistých ušetřených nákladů,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06589E70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14:paraId="10C2E8D6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roční vyrovnávací platby, poskytovatel vrací neprodleně pověřovateli celou nadměrně vyplacenou částku.</w:t>
      </w:r>
    </w:p>
    <w:p w14:paraId="206B0B6C" w14:textId="7777777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vyrovnávací platba nepokryje čisté ušetřené náklady, nemá poskytovatel nárok na dodatečnou kompenzaci.</w:t>
      </w:r>
    </w:p>
    <w:p w14:paraId="45A1F21F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0D2587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098B8D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0DF7709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A60C17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452ACF02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165454D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3C47C97F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909DD9D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7A8786A8" w14:textId="77777777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>ve 12 měsíčním cyklu</w:t>
      </w:r>
      <w:r w:rsidR="000B2BCB">
        <w:rPr>
          <w:rFonts w:ascii="Arial" w:hAnsi="Arial" w:cs="Arial"/>
          <w:sz w:val="20"/>
        </w:rPr>
        <w:t>.</w:t>
      </w:r>
    </w:p>
    <w:p w14:paraId="3C45C4D5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5B9CE523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2D0F4DA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3F23B725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835E35A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265FD687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45B5C2EC" w14:textId="77777777" w:rsidR="009A6143" w:rsidRDefault="009A6143" w:rsidP="00C73289">
      <w:pPr>
        <w:rPr>
          <w:rFonts w:ascii="Arial" w:hAnsi="Arial" w:cs="Arial"/>
          <w:sz w:val="20"/>
        </w:rPr>
      </w:pPr>
    </w:p>
    <w:p w14:paraId="6903B551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4E4FDF9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422ED3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2B0B359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147D28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75125F6A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5CE35753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1899E1B2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62743BA2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020AB1E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 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20515BA4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lastRenderedPageBreak/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6C356FD4" w14:textId="7777777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590FFC45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554DBE67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228E5F5E" w14:textId="77777777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 (článek IV, odstavec </w:t>
      </w:r>
      <w:r w:rsidR="006819FD">
        <w:rPr>
          <w:rFonts w:ascii="Arial" w:hAnsi="Arial" w:cs="Arial"/>
          <w:sz w:val="20"/>
        </w:rPr>
        <w:t>6</w:t>
      </w:r>
      <w:r w:rsidR="008E6785">
        <w:rPr>
          <w:rFonts w:ascii="Arial" w:hAnsi="Arial" w:cs="Arial"/>
          <w:sz w:val="20"/>
        </w:rPr>
        <w:t xml:space="preserve"> pověření),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4AED6CD8" w14:textId="77777777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>
        <w:rPr>
          <w:rFonts w:ascii="Arial" w:hAnsi="Arial" w:cs="Arial"/>
          <w:sz w:val="20"/>
        </w:rPr>
        <w:t xml:space="preserve"> celkovou vyrovnávací platbu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11757031" w14:textId="77777777" w:rsidR="009355D6" w:rsidRDefault="008E6785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Opakovaně uzavře </w:t>
      </w:r>
      <w:r w:rsidR="009355D6">
        <w:rPr>
          <w:rFonts w:ascii="Arial" w:hAnsi="Arial" w:cs="Arial"/>
          <w:sz w:val="20"/>
        </w:rPr>
        <w:t xml:space="preserve">nájemní </w:t>
      </w:r>
      <w:r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615DB37B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62BB71EA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4C0DFDF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FD5C6E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573C4649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3E614B77" w14:textId="77777777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>
        <w:rPr>
          <w:rFonts w:ascii="Arial" w:hAnsi="Arial" w:cs="Arial"/>
          <w:sz w:val="20"/>
        </w:rPr>
        <w:t>.</w:t>
      </w:r>
      <w:r w:rsidR="00E8429E">
        <w:rPr>
          <w:rFonts w:ascii="Arial" w:hAnsi="Arial" w:cs="Arial"/>
          <w:sz w:val="20"/>
        </w:rPr>
        <w:t xml:space="preserve"> Konečné datum</w:t>
      </w:r>
      <w:r w:rsidR="00482AB6">
        <w:rPr>
          <w:rFonts w:ascii="Arial" w:hAnsi="Arial" w:cs="Arial"/>
          <w:sz w:val="20"/>
        </w:rPr>
        <w:t xml:space="preserve">, kdy pověření přestává být </w:t>
      </w:r>
      <w:r w:rsidR="001B7E58">
        <w:rPr>
          <w:rFonts w:ascii="Arial" w:hAnsi="Arial" w:cs="Arial"/>
          <w:sz w:val="20"/>
        </w:rPr>
        <w:t>účinné</w:t>
      </w:r>
      <w:r w:rsidR="00482AB6">
        <w:rPr>
          <w:rFonts w:ascii="Arial" w:hAnsi="Arial" w:cs="Arial"/>
          <w:sz w:val="20"/>
        </w:rPr>
        <w:t xml:space="preserve">, </w:t>
      </w:r>
      <w:r w:rsidR="00E8429E">
        <w:rPr>
          <w:rFonts w:ascii="Arial" w:hAnsi="Arial" w:cs="Arial"/>
          <w:sz w:val="20"/>
        </w:rPr>
        <w:t xml:space="preserve">se odvozuje od individuálních výpočtů délky umoření </w:t>
      </w:r>
      <w:r w:rsidR="00482AB6">
        <w:rPr>
          <w:rFonts w:ascii="Arial" w:hAnsi="Arial" w:cs="Arial"/>
          <w:sz w:val="20"/>
        </w:rPr>
        <w:t>poměrných</w:t>
      </w:r>
      <w:r w:rsidR="00E8429E">
        <w:rPr>
          <w:rFonts w:ascii="Arial" w:hAnsi="Arial" w:cs="Arial"/>
          <w:sz w:val="20"/>
        </w:rPr>
        <w:t xml:space="preserve"> částí poskytn</w:t>
      </w:r>
      <w:r w:rsidR="00482AB6">
        <w:rPr>
          <w:rFonts w:ascii="Arial" w:hAnsi="Arial" w:cs="Arial"/>
          <w:sz w:val="20"/>
        </w:rPr>
        <w:t>ut</w:t>
      </w:r>
      <w:r w:rsidR="00E8429E">
        <w:rPr>
          <w:rFonts w:ascii="Arial" w:hAnsi="Arial" w:cs="Arial"/>
          <w:sz w:val="20"/>
        </w:rPr>
        <w:t>é vyrovnávací platby jednotliv</w:t>
      </w:r>
      <w:r w:rsidR="00471BBC">
        <w:rPr>
          <w:rFonts w:ascii="Arial" w:hAnsi="Arial" w:cs="Arial"/>
          <w:sz w:val="20"/>
        </w:rPr>
        <w:t xml:space="preserve">ého bytu </w:t>
      </w:r>
      <w:r w:rsidR="00E8429E">
        <w:rPr>
          <w:rFonts w:ascii="Arial" w:hAnsi="Arial" w:cs="Arial"/>
          <w:sz w:val="20"/>
        </w:rPr>
        <w:t>(byt</w:t>
      </w:r>
      <w:r w:rsidR="00471BBC">
        <w:rPr>
          <w:rFonts w:ascii="Arial" w:hAnsi="Arial" w:cs="Arial"/>
          <w:sz w:val="20"/>
        </w:rPr>
        <w:t>ů</w:t>
      </w:r>
      <w:r w:rsidR="000D66FB">
        <w:rPr>
          <w:rFonts w:ascii="Arial" w:hAnsi="Arial" w:cs="Arial"/>
          <w:sz w:val="20"/>
        </w:rPr>
        <w:t>)</w:t>
      </w:r>
      <w:r w:rsidR="00E8429E">
        <w:rPr>
          <w:rFonts w:ascii="Arial" w:hAnsi="Arial" w:cs="Arial"/>
          <w:sz w:val="20"/>
        </w:rPr>
        <w:t xml:space="preserve">. </w:t>
      </w:r>
      <w:r w:rsidR="00482AB6">
        <w:rPr>
          <w:rFonts w:ascii="Arial" w:hAnsi="Arial" w:cs="Arial"/>
          <w:sz w:val="20"/>
        </w:rPr>
        <w:t>Rozhodující je nejza</w:t>
      </w:r>
      <w:r w:rsidR="001F0D2E">
        <w:rPr>
          <w:rFonts w:ascii="Arial" w:hAnsi="Arial" w:cs="Arial"/>
          <w:sz w:val="20"/>
        </w:rPr>
        <w:t>zš</w:t>
      </w:r>
      <w:r w:rsidR="00482AB6">
        <w:rPr>
          <w:rFonts w:ascii="Arial" w:hAnsi="Arial" w:cs="Arial"/>
          <w:sz w:val="20"/>
        </w:rPr>
        <w:t xml:space="preserve">í vypočtená </w:t>
      </w:r>
      <w:r w:rsidR="001B7E58">
        <w:rPr>
          <w:rFonts w:ascii="Arial" w:hAnsi="Arial" w:cs="Arial"/>
          <w:sz w:val="20"/>
        </w:rPr>
        <w:t>doba</w:t>
      </w:r>
      <w:r w:rsidR="00482AB6">
        <w:rPr>
          <w:rFonts w:ascii="Arial" w:hAnsi="Arial" w:cs="Arial"/>
          <w:sz w:val="20"/>
        </w:rPr>
        <w:t>, potřebná k umoření příslušné části vyrovnávací platby</w:t>
      </w:r>
      <w:r w:rsidR="00757897">
        <w:rPr>
          <w:rFonts w:ascii="Arial" w:hAnsi="Arial" w:cs="Arial"/>
          <w:sz w:val="20"/>
        </w:rPr>
        <w:t xml:space="preserve"> </w:t>
      </w:r>
      <w:r w:rsidR="00482AB6">
        <w:rPr>
          <w:rFonts w:ascii="Arial" w:hAnsi="Arial" w:cs="Arial"/>
          <w:sz w:val="20"/>
        </w:rPr>
        <w:t xml:space="preserve">– viz článek IV. pověření.  </w:t>
      </w:r>
    </w:p>
    <w:p w14:paraId="3598F21E" w14:textId="77777777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78D333A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0EF3191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F16DCE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B25575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7293B09D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26EB705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141BCCE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41F506B3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5B40F074" w14:textId="63A8EDCC" w:rsidR="009A6143" w:rsidRPr="00C15780" w:rsidRDefault="009A6143" w:rsidP="00F94F69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C15780">
        <w:rPr>
          <w:rFonts w:ascii="Arial" w:hAnsi="Arial" w:cs="Arial"/>
          <w:sz w:val="20"/>
        </w:rPr>
        <w:t xml:space="preserve">Pověřovací akt je sepsán ve </w:t>
      </w:r>
      <w:r w:rsidR="00A86550" w:rsidRPr="00C15780">
        <w:rPr>
          <w:rFonts w:ascii="Arial" w:hAnsi="Arial" w:cs="Arial"/>
          <w:sz w:val="20"/>
        </w:rPr>
        <w:t>3</w:t>
      </w:r>
      <w:r w:rsidR="001F0D2E" w:rsidRPr="00C15780">
        <w:rPr>
          <w:rFonts w:ascii="Arial" w:hAnsi="Arial" w:cs="Arial"/>
          <w:sz w:val="20"/>
        </w:rPr>
        <w:t xml:space="preserve"> </w:t>
      </w:r>
      <w:r w:rsidRPr="00C15780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 w:rsidRPr="00C15780">
        <w:rPr>
          <w:rFonts w:ascii="Arial" w:hAnsi="Arial" w:cs="Arial"/>
          <w:sz w:val="20"/>
        </w:rPr>
        <w:t>P</w:t>
      </w:r>
      <w:r w:rsidRPr="00C15780">
        <w:rPr>
          <w:rFonts w:ascii="Arial" w:hAnsi="Arial" w:cs="Arial"/>
          <w:sz w:val="20"/>
        </w:rPr>
        <w:t>ověřovacího aktu obdrží Centrum pro regionální rozvoj</w:t>
      </w:r>
      <w:r w:rsidR="00C8165B" w:rsidRPr="00C15780">
        <w:rPr>
          <w:rFonts w:ascii="Arial" w:hAnsi="Arial" w:cs="Arial"/>
          <w:sz w:val="20"/>
        </w:rPr>
        <w:t xml:space="preserve"> ČR</w:t>
      </w:r>
      <w:r w:rsidRPr="00C15780">
        <w:rPr>
          <w:rFonts w:ascii="Arial" w:hAnsi="Arial" w:cs="Arial"/>
          <w:sz w:val="20"/>
        </w:rPr>
        <w:t xml:space="preserve">. </w:t>
      </w:r>
    </w:p>
    <w:p w14:paraId="655571E6" w14:textId="77777777" w:rsidR="00482AB6" w:rsidRDefault="00482AB6" w:rsidP="00C15780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Pověřovacího aktu jsou přílohy:</w:t>
      </w:r>
    </w:p>
    <w:p w14:paraId="19FF7AA5" w14:textId="77777777" w:rsidR="00482AB6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platná k datu podepsání</w:t>
      </w:r>
      <w:r w:rsidR="001B486B">
        <w:rPr>
          <w:rFonts w:ascii="Arial" w:hAnsi="Arial" w:cs="Arial"/>
          <w:sz w:val="20"/>
        </w:rPr>
        <w:t xml:space="preserve"> Pověřovacího aktu</w:t>
      </w:r>
      <w:r>
        <w:rPr>
          <w:rFonts w:ascii="Arial" w:hAnsi="Arial" w:cs="Arial"/>
          <w:sz w:val="20"/>
        </w:rPr>
        <w:t>.</w:t>
      </w:r>
    </w:p>
    <w:p w14:paraId="7910C99B" w14:textId="509134C5" w:rsidR="007C605C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lastRenderedPageBreak/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4475F4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 potřebné </w:t>
      </w:r>
      <w:r w:rsidR="00BE44F0" w:rsidRPr="001D79B0">
        <w:rPr>
          <w:rFonts w:ascii="Arial" w:hAnsi="Arial" w:cs="Arial"/>
          <w:sz w:val="20"/>
        </w:rPr>
        <w:t xml:space="preserve">k </w:t>
      </w:r>
      <w:r w:rsidRPr="001D79B0">
        <w:rPr>
          <w:rFonts w:ascii="Arial" w:hAnsi="Arial" w:cs="Arial"/>
          <w:sz w:val="20"/>
        </w:rPr>
        <w:t>výpočtu odpovídající vyrovnávací platby a délky pověření</w:t>
      </w:r>
      <w:r w:rsidR="007C605C" w:rsidRPr="001D79B0">
        <w:rPr>
          <w:rFonts w:ascii="Arial" w:hAnsi="Arial" w:cs="Arial"/>
          <w:sz w:val="20"/>
        </w:rPr>
        <w:t xml:space="preserve"> na počátku poskytování služby</w:t>
      </w:r>
      <w:r w:rsidRPr="001D79B0">
        <w:rPr>
          <w:rFonts w:ascii="Arial" w:hAnsi="Arial" w:cs="Arial"/>
          <w:sz w:val="20"/>
        </w:rPr>
        <w:t xml:space="preserve"> </w:t>
      </w:r>
      <w:r w:rsidR="007C605C" w:rsidRPr="001D79B0">
        <w:rPr>
          <w:rFonts w:ascii="Arial" w:hAnsi="Arial" w:cs="Arial"/>
          <w:sz w:val="20"/>
        </w:rPr>
        <w:t xml:space="preserve">a </w:t>
      </w:r>
      <w:r w:rsidRPr="001D79B0">
        <w:rPr>
          <w:rFonts w:ascii="Arial" w:hAnsi="Arial" w:cs="Arial"/>
          <w:sz w:val="20"/>
        </w:rPr>
        <w:t xml:space="preserve">potřebné </w:t>
      </w:r>
      <w:r w:rsidR="007C605C" w:rsidRPr="001D79B0">
        <w:rPr>
          <w:rFonts w:ascii="Arial" w:hAnsi="Arial" w:cs="Arial"/>
          <w:sz w:val="20"/>
        </w:rPr>
        <w:t xml:space="preserve">dále </w:t>
      </w:r>
      <w:r w:rsidRPr="001D79B0">
        <w:rPr>
          <w:rFonts w:ascii="Arial" w:hAnsi="Arial" w:cs="Arial"/>
          <w:sz w:val="20"/>
        </w:rPr>
        <w:t xml:space="preserve">k vyhodnocení vyrovnávací platby v průběhu trvání </w:t>
      </w:r>
      <w:r w:rsidR="007C605C" w:rsidRPr="001D79B0">
        <w:rPr>
          <w:rFonts w:ascii="Arial" w:hAnsi="Arial" w:cs="Arial"/>
          <w:sz w:val="20"/>
        </w:rPr>
        <w:t xml:space="preserve">účinnosti </w:t>
      </w:r>
      <w:r w:rsidRPr="001D79B0">
        <w:rPr>
          <w:rFonts w:ascii="Arial" w:hAnsi="Arial" w:cs="Arial"/>
          <w:sz w:val="20"/>
        </w:rPr>
        <w:t>pověření</w:t>
      </w:r>
      <w:r w:rsidR="00FA10A4" w:rsidRPr="001D79B0">
        <w:rPr>
          <w:rFonts w:ascii="Arial" w:hAnsi="Arial" w:cs="Arial"/>
          <w:sz w:val="20"/>
        </w:rPr>
        <w:t xml:space="preserve"> (viz příloha č. 13 </w:t>
      </w:r>
      <w:r w:rsidR="00B623EE" w:rsidRPr="001D79B0">
        <w:rPr>
          <w:rFonts w:ascii="Arial" w:hAnsi="Arial" w:cs="Arial"/>
          <w:sz w:val="20"/>
        </w:rPr>
        <w:t xml:space="preserve">„Model A. Volba délky pověření“ a příloha č. </w:t>
      </w:r>
      <w:r w:rsidR="00FA10A4" w:rsidRPr="001D79B0">
        <w:rPr>
          <w:rFonts w:ascii="Arial" w:hAnsi="Arial" w:cs="Arial"/>
          <w:sz w:val="20"/>
        </w:rPr>
        <w:t xml:space="preserve">14 </w:t>
      </w:r>
      <w:r w:rsidR="00B623EE" w:rsidRPr="001D79B0">
        <w:rPr>
          <w:rFonts w:ascii="Arial" w:hAnsi="Arial" w:cs="Arial"/>
          <w:sz w:val="20"/>
        </w:rPr>
        <w:t xml:space="preserve">„Model B. Výběr výše dotace“ </w:t>
      </w:r>
      <w:r w:rsidR="00FA10A4" w:rsidRPr="001D79B0">
        <w:rPr>
          <w:rFonts w:ascii="Arial" w:hAnsi="Arial" w:cs="Arial"/>
          <w:sz w:val="20"/>
        </w:rPr>
        <w:t>S</w:t>
      </w:r>
      <w:r w:rsidR="00C15780" w:rsidRPr="001D79B0">
        <w:rPr>
          <w:rFonts w:ascii="Arial" w:hAnsi="Arial" w:cs="Arial"/>
          <w:sz w:val="20"/>
        </w:rPr>
        <w:t>pecifických pravidel pro žadatele a příjemce</w:t>
      </w:r>
      <w:r w:rsidR="00B623EE" w:rsidRPr="001D79B0">
        <w:rPr>
          <w:rFonts w:ascii="Arial" w:hAnsi="Arial" w:cs="Arial"/>
          <w:sz w:val="20"/>
        </w:rPr>
        <w:t>)</w:t>
      </w:r>
      <w:r w:rsidRPr="001D79B0">
        <w:rPr>
          <w:rFonts w:ascii="Arial" w:hAnsi="Arial" w:cs="Arial"/>
          <w:sz w:val="20"/>
        </w:rPr>
        <w:t>.</w:t>
      </w:r>
    </w:p>
    <w:p w14:paraId="14132BF5" w14:textId="77777777" w:rsidR="00482AB6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="00471BBC" w:rsidRPr="001D79B0">
        <w:rPr>
          <w:rFonts w:ascii="Arial" w:hAnsi="Arial" w:cs="Arial"/>
          <w:sz w:val="20"/>
        </w:rPr>
        <w:t>3</w:t>
      </w:r>
      <w:r w:rsidR="007C605C" w:rsidRPr="001D79B0">
        <w:rPr>
          <w:rFonts w:ascii="Arial" w:hAnsi="Arial" w:cs="Arial"/>
          <w:sz w:val="20"/>
        </w:rPr>
        <w:t xml:space="preserve"> </w:t>
      </w:r>
      <w:r w:rsidRPr="001D79B0">
        <w:rPr>
          <w:rFonts w:ascii="Arial" w:hAnsi="Arial" w:cs="Arial"/>
          <w:sz w:val="20"/>
        </w:rPr>
        <w:t xml:space="preserve">– </w:t>
      </w:r>
      <w:r w:rsidR="004475F4" w:rsidRPr="001D79B0">
        <w:rPr>
          <w:rFonts w:ascii="Arial" w:hAnsi="Arial" w:cs="Arial"/>
          <w:sz w:val="20"/>
        </w:rPr>
        <w:t>P</w:t>
      </w:r>
      <w:r w:rsidRPr="001D79B0">
        <w:rPr>
          <w:rFonts w:ascii="Arial" w:hAnsi="Arial" w:cs="Arial"/>
          <w:sz w:val="20"/>
        </w:rPr>
        <w:t>asport</w:t>
      </w:r>
      <w:r w:rsidR="001B486B" w:rsidRPr="001D79B0">
        <w:rPr>
          <w:rFonts w:ascii="Arial" w:hAnsi="Arial" w:cs="Arial"/>
          <w:sz w:val="20"/>
        </w:rPr>
        <w:t>y</w:t>
      </w:r>
      <w:r w:rsidRPr="001D79B0">
        <w:rPr>
          <w:rFonts w:ascii="Arial" w:hAnsi="Arial" w:cs="Arial"/>
          <w:sz w:val="20"/>
        </w:rPr>
        <w:t xml:space="preserve"> </w:t>
      </w:r>
      <w:r w:rsidR="002611F1" w:rsidRPr="001D79B0">
        <w:rPr>
          <w:rFonts w:ascii="Arial" w:hAnsi="Arial" w:cs="Arial"/>
          <w:sz w:val="20"/>
        </w:rPr>
        <w:t>bytu (bytů</w:t>
      </w:r>
      <w:r w:rsidR="001B486B" w:rsidRPr="001D79B0">
        <w:rPr>
          <w:rFonts w:ascii="Arial" w:hAnsi="Arial" w:cs="Arial"/>
          <w:sz w:val="20"/>
        </w:rPr>
        <w:t>)</w:t>
      </w:r>
      <w:r w:rsidR="00CB2304" w:rsidRPr="001D79B0">
        <w:rPr>
          <w:rFonts w:ascii="Arial" w:hAnsi="Arial" w:cs="Arial"/>
          <w:sz w:val="20"/>
        </w:rPr>
        <w:t>.</w:t>
      </w:r>
      <w:r w:rsidRPr="001D79B0">
        <w:rPr>
          <w:rFonts w:ascii="Arial" w:hAnsi="Arial" w:cs="Arial"/>
          <w:sz w:val="20"/>
        </w:rPr>
        <w:t xml:space="preserve"> </w:t>
      </w:r>
    </w:p>
    <w:p w14:paraId="3E8A182A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52CDEC02" w14:textId="77777777" w:rsidR="009A6143" w:rsidRDefault="009A6143" w:rsidP="009A6143">
      <w:pPr>
        <w:rPr>
          <w:rFonts w:ascii="Arial" w:hAnsi="Arial" w:cs="Arial"/>
          <w:sz w:val="20"/>
        </w:rPr>
      </w:pPr>
    </w:p>
    <w:p w14:paraId="40E3E005" w14:textId="77777777" w:rsidR="001B486B" w:rsidRDefault="001B486B" w:rsidP="009A6143">
      <w:pPr>
        <w:rPr>
          <w:rFonts w:ascii="Arial" w:hAnsi="Arial" w:cs="Arial"/>
          <w:sz w:val="20"/>
        </w:rPr>
      </w:pPr>
    </w:p>
    <w:p w14:paraId="0115EAC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0DB6D7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3D02498A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CC0EFF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7E681AA2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AD2BC6C" w14:textId="77777777" w:rsidR="009A6143" w:rsidRDefault="009A6143" w:rsidP="009A6143">
      <w:pPr>
        <w:rPr>
          <w:rFonts w:ascii="Arial" w:hAnsi="Arial" w:cs="Arial"/>
          <w:sz w:val="20"/>
        </w:rPr>
      </w:pPr>
    </w:p>
    <w:p w14:paraId="019379F1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1B9CC0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FD4C1D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1E562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6DADE1B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7587971C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6DBCFD30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064A098F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15D74CF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6188AA9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68C4F88" w14:textId="77777777" w:rsidR="009E7C18" w:rsidRPr="001D79B0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 xml:space="preserve">1 </w:t>
      </w:r>
      <w:r w:rsidRPr="001D79B0">
        <w:rPr>
          <w:rFonts w:ascii="Arial" w:hAnsi="Arial" w:cs="Arial"/>
          <w:sz w:val="20"/>
        </w:rPr>
        <w:t>– Specifická pravidla pro žadatele a příjemce dotace</w:t>
      </w:r>
    </w:p>
    <w:p w14:paraId="735BB68B" w14:textId="1939A35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AC0AEF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196E42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</w:t>
      </w:r>
      <w:r w:rsidR="00B623EE" w:rsidRPr="001D79B0">
        <w:rPr>
          <w:rFonts w:ascii="Arial" w:hAnsi="Arial" w:cs="Arial"/>
          <w:sz w:val="20"/>
        </w:rPr>
        <w:t xml:space="preserve"> (viz příloha č. 13 a příloha č. 14 Specifických pravidel pro žadatele a příjemce)</w:t>
      </w:r>
    </w:p>
    <w:p w14:paraId="0072D05B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664ED2">
        <w:rPr>
          <w:rFonts w:ascii="Arial" w:hAnsi="Arial" w:cs="Arial"/>
          <w:sz w:val="20"/>
        </w:rPr>
        <w:t xml:space="preserve">č. </w:t>
      </w:r>
      <w:r w:rsidR="00116E2B">
        <w:rPr>
          <w:rFonts w:ascii="Arial" w:hAnsi="Arial" w:cs="Arial"/>
          <w:sz w:val="20"/>
        </w:rPr>
        <w:t>3</w:t>
      </w:r>
      <w:r w:rsidR="001B7E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664ED2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asporty </w:t>
      </w:r>
      <w:r w:rsidR="002611F1">
        <w:rPr>
          <w:rFonts w:ascii="Arial" w:hAnsi="Arial" w:cs="Arial"/>
          <w:sz w:val="20"/>
        </w:rPr>
        <w:t>bytu (bytů)</w:t>
      </w:r>
    </w:p>
    <w:p w14:paraId="4FAFD6F3" w14:textId="77777777" w:rsidR="009E7C18" w:rsidRPr="006B2A7F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sectPr w:rsidR="009E7C18" w:rsidRPr="006B2A7F" w:rsidSect="003A27C8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A05E8" w14:textId="77777777" w:rsidR="00380EDE" w:rsidRDefault="00380EDE" w:rsidP="009A6143">
      <w:r>
        <w:separator/>
      </w:r>
    </w:p>
  </w:endnote>
  <w:endnote w:type="continuationSeparator" w:id="0">
    <w:p w14:paraId="3CDC6020" w14:textId="77777777" w:rsidR="00380EDE" w:rsidRDefault="00380EDE" w:rsidP="009A6143">
      <w:r>
        <w:continuationSeparator/>
      </w:r>
    </w:p>
  </w:endnote>
  <w:endnote w:type="continuationNotice" w:id="1">
    <w:p w14:paraId="289CD28C" w14:textId="77777777" w:rsidR="00380EDE" w:rsidRDefault="0038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5AB7FD15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6D1210C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EDB301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F931E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FC9DEC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C433E41" w14:textId="20354FCD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F026F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F026F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5F74F4AE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A8A4D" w14:textId="77777777" w:rsidR="00380EDE" w:rsidRDefault="00380EDE" w:rsidP="009A6143">
      <w:r>
        <w:separator/>
      </w:r>
    </w:p>
  </w:footnote>
  <w:footnote w:type="continuationSeparator" w:id="0">
    <w:p w14:paraId="33AA3127" w14:textId="77777777" w:rsidR="00380EDE" w:rsidRDefault="00380EDE" w:rsidP="009A6143">
      <w:r>
        <w:continuationSeparator/>
      </w:r>
    </w:p>
  </w:footnote>
  <w:footnote w:type="continuationNotice" w:id="1">
    <w:p w14:paraId="7D05C1EA" w14:textId="77777777" w:rsidR="00380EDE" w:rsidRDefault="00380EDE"/>
  </w:footnote>
  <w:footnote w:id="2">
    <w:p w14:paraId="013F61B8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  <w:footnote w:id="3">
    <w:p w14:paraId="779488F0" w14:textId="77777777" w:rsidR="00E14D84" w:rsidRPr="00B31129" w:rsidRDefault="00E14D84" w:rsidP="00AC364C">
      <w:pPr>
        <w:pStyle w:val="Textpoznpodarou"/>
        <w:rPr>
          <w:rFonts w:ascii="Arial" w:hAnsi="Arial" w:cs="Arial"/>
        </w:rPr>
      </w:pPr>
      <w:r w:rsidRPr="00B31129">
        <w:rPr>
          <w:rStyle w:val="Znakapoznpodarou"/>
          <w:rFonts w:ascii="Arial" w:hAnsi="Arial" w:cs="Arial"/>
        </w:rPr>
        <w:footnoteRef/>
      </w:r>
      <w:r w:rsidRPr="00B31129">
        <w:rPr>
          <w:rFonts w:ascii="Arial" w:hAnsi="Arial" w:cs="Arial"/>
        </w:rPr>
        <w:t xml:space="preserve"> Kde:</w:t>
      </w:r>
    </w:p>
    <w:p w14:paraId="185648C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FNPVi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– finanční čistá současná hodnota dotace</w:t>
      </w:r>
    </w:p>
    <w:p w14:paraId="413243AC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S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– bilance cash </w:t>
      </w:r>
      <w:proofErr w:type="spellStart"/>
      <w:r w:rsidRPr="00B31129">
        <w:rPr>
          <w:rFonts w:ascii="Arial" w:hAnsi="Arial" w:cs="Arial"/>
          <w:sz w:val="18"/>
          <w:szCs w:val="18"/>
        </w:rPr>
        <w:t>flow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v čase t (ušlý nájem)</w:t>
      </w:r>
    </w:p>
    <w:p w14:paraId="405AE75D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- finanční diskontní faktor zvolený pro diskontování v čase (tj. </w:t>
      </w: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= 1 / (1 + i)</w:t>
      </w:r>
      <w:r w:rsidR="009A1466">
        <w:rPr>
          <w:rFonts w:ascii="Arial" w:hAnsi="Arial" w:cs="Arial"/>
          <w:sz w:val="18"/>
          <w:szCs w:val="18"/>
          <w:vertAlign w:val="superscript"/>
        </w:rPr>
        <w:t>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7A6AB85E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i - referenční diskontní sazba</w:t>
      </w:r>
    </w:p>
    <w:p w14:paraId="6B2FE95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 xml:space="preserve">n - poslední </w:t>
      </w:r>
      <w:r>
        <w:rPr>
          <w:rFonts w:ascii="Arial" w:hAnsi="Arial" w:cs="Arial"/>
          <w:sz w:val="18"/>
          <w:szCs w:val="18"/>
        </w:rPr>
        <w:t>hodnota</w:t>
      </w:r>
      <w:r w:rsidRPr="00B31129">
        <w:rPr>
          <w:rFonts w:ascii="Arial" w:hAnsi="Arial" w:cs="Arial"/>
          <w:sz w:val="18"/>
          <w:szCs w:val="18"/>
        </w:rPr>
        <w:t xml:space="preserve"> referenčního období (období, pro které</w:t>
      </w:r>
      <w:r w:rsidR="004C1720">
        <w:rPr>
          <w:rFonts w:ascii="Arial" w:hAnsi="Arial" w:cs="Arial"/>
          <w:sz w:val="18"/>
          <w:szCs w:val="18"/>
        </w:rPr>
        <w:t xml:space="preserve"> </w:t>
      </w:r>
      <w:r w:rsidR="004C1720" w:rsidRPr="004C1720">
        <w:rPr>
          <w:rFonts w:ascii="Arial" w:hAnsi="Arial" w:cs="Arial"/>
          <w:sz w:val="18"/>
          <w:szCs w:val="18"/>
        </w:rPr>
        <w:t>diskontovaná zůstatková hodnota dotace poprvé nabývá záporných hodnot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28172D09" w14:textId="77777777" w:rsidR="00E14D84" w:rsidRDefault="00E14D84" w:rsidP="00AC364C">
      <w:pPr>
        <w:pStyle w:val="Textpoznpodarou"/>
      </w:pPr>
      <w:r w:rsidRPr="00B31129">
        <w:rPr>
          <w:rFonts w:ascii="Arial" w:hAnsi="Arial" w:cs="Arial"/>
          <w:sz w:val="18"/>
          <w:szCs w:val="18"/>
        </w:rPr>
        <w:t>t - časový horizont referenčního období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14527" w14:textId="77777777" w:rsidR="003A27C8" w:rsidRDefault="003A27C8">
    <w:pPr>
      <w:pStyle w:val="Zhlav"/>
    </w:pPr>
  </w:p>
  <w:p w14:paraId="7EC6D7D5" w14:textId="77777777" w:rsidR="003A27C8" w:rsidRDefault="003A2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D1746" w14:textId="77777777" w:rsidR="003A27C8" w:rsidRDefault="003A27C8">
    <w:pPr>
      <w:pStyle w:val="Zhlav"/>
    </w:pPr>
    <w:r>
      <w:rPr>
        <w:noProof/>
        <w:lang w:eastAsia="cs-CZ"/>
      </w:rPr>
      <w:drawing>
        <wp:inline distT="0" distB="0" distL="0" distR="0" wp14:anchorId="29FBE5DA" wp14:editId="3FAD9524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4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23"/>
  </w:num>
  <w:num w:numId="5">
    <w:abstractNumId w:val="19"/>
  </w:num>
  <w:num w:numId="6">
    <w:abstractNumId w:val="25"/>
  </w:num>
  <w:num w:numId="7">
    <w:abstractNumId w:val="11"/>
  </w:num>
  <w:num w:numId="8">
    <w:abstractNumId w:val="1"/>
  </w:num>
  <w:num w:numId="9">
    <w:abstractNumId w:val="16"/>
  </w:num>
  <w:num w:numId="10">
    <w:abstractNumId w:val="22"/>
  </w:num>
  <w:num w:numId="11">
    <w:abstractNumId w:val="15"/>
  </w:num>
  <w:num w:numId="12">
    <w:abstractNumId w:val="6"/>
  </w:num>
  <w:num w:numId="13">
    <w:abstractNumId w:val="12"/>
  </w:num>
  <w:num w:numId="14">
    <w:abstractNumId w:val="13"/>
  </w:num>
  <w:num w:numId="15">
    <w:abstractNumId w:val="5"/>
  </w:num>
  <w:num w:numId="16">
    <w:abstractNumId w:val="21"/>
  </w:num>
  <w:num w:numId="17">
    <w:abstractNumId w:val="10"/>
  </w:num>
  <w:num w:numId="18">
    <w:abstractNumId w:val="2"/>
  </w:num>
  <w:num w:numId="19">
    <w:abstractNumId w:val="9"/>
  </w:num>
  <w:num w:numId="20">
    <w:abstractNumId w:val="20"/>
  </w:num>
  <w:num w:numId="21">
    <w:abstractNumId w:val="8"/>
  </w:num>
  <w:num w:numId="22">
    <w:abstractNumId w:val="7"/>
  </w:num>
  <w:num w:numId="23">
    <w:abstractNumId w:val="24"/>
  </w:num>
  <w:num w:numId="24">
    <w:abstractNumId w:val="3"/>
  </w:num>
  <w:num w:numId="25">
    <w:abstractNumId w:val="0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15754"/>
    <w:rsid w:val="00017704"/>
    <w:rsid w:val="00027677"/>
    <w:rsid w:val="000300F4"/>
    <w:rsid w:val="00030F7C"/>
    <w:rsid w:val="00032381"/>
    <w:rsid w:val="0003347D"/>
    <w:rsid w:val="00040F62"/>
    <w:rsid w:val="00041AC3"/>
    <w:rsid w:val="00046ECD"/>
    <w:rsid w:val="000519DE"/>
    <w:rsid w:val="00053502"/>
    <w:rsid w:val="00056E05"/>
    <w:rsid w:val="000570A1"/>
    <w:rsid w:val="00057EC8"/>
    <w:rsid w:val="00062F2E"/>
    <w:rsid w:val="000716C9"/>
    <w:rsid w:val="00071D9A"/>
    <w:rsid w:val="00077520"/>
    <w:rsid w:val="0008039E"/>
    <w:rsid w:val="000A00D2"/>
    <w:rsid w:val="000A0613"/>
    <w:rsid w:val="000A3131"/>
    <w:rsid w:val="000B2B29"/>
    <w:rsid w:val="000B2BCB"/>
    <w:rsid w:val="000C1A25"/>
    <w:rsid w:val="000C50C9"/>
    <w:rsid w:val="000D1B74"/>
    <w:rsid w:val="000D1F7C"/>
    <w:rsid w:val="000D66FB"/>
    <w:rsid w:val="000D6EA7"/>
    <w:rsid w:val="000D77A5"/>
    <w:rsid w:val="000D7BB6"/>
    <w:rsid w:val="000E2AAB"/>
    <w:rsid w:val="000E4000"/>
    <w:rsid w:val="000F0118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827C2"/>
    <w:rsid w:val="00182B1A"/>
    <w:rsid w:val="001858E3"/>
    <w:rsid w:val="001860FB"/>
    <w:rsid w:val="0018672F"/>
    <w:rsid w:val="00196529"/>
    <w:rsid w:val="00196A5D"/>
    <w:rsid w:val="00196E42"/>
    <w:rsid w:val="001A0945"/>
    <w:rsid w:val="001A5F2A"/>
    <w:rsid w:val="001A7F48"/>
    <w:rsid w:val="001B014F"/>
    <w:rsid w:val="001B0CE0"/>
    <w:rsid w:val="001B486B"/>
    <w:rsid w:val="001B5B6C"/>
    <w:rsid w:val="001B61AA"/>
    <w:rsid w:val="001B7E58"/>
    <w:rsid w:val="001D4E6B"/>
    <w:rsid w:val="001D6FF6"/>
    <w:rsid w:val="001D79B0"/>
    <w:rsid w:val="001E2C85"/>
    <w:rsid w:val="001F026F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BAA"/>
    <w:rsid w:val="00227348"/>
    <w:rsid w:val="002303FE"/>
    <w:rsid w:val="0023515D"/>
    <w:rsid w:val="00240AD5"/>
    <w:rsid w:val="00250D08"/>
    <w:rsid w:val="00252AD9"/>
    <w:rsid w:val="00257EDD"/>
    <w:rsid w:val="002611F1"/>
    <w:rsid w:val="0026167F"/>
    <w:rsid w:val="002639B3"/>
    <w:rsid w:val="00265C7B"/>
    <w:rsid w:val="0027176F"/>
    <w:rsid w:val="00273EEA"/>
    <w:rsid w:val="00275A1B"/>
    <w:rsid w:val="00285014"/>
    <w:rsid w:val="0028701F"/>
    <w:rsid w:val="002A55FD"/>
    <w:rsid w:val="002A6A0A"/>
    <w:rsid w:val="002B0B01"/>
    <w:rsid w:val="002B20D9"/>
    <w:rsid w:val="002B695A"/>
    <w:rsid w:val="002C2802"/>
    <w:rsid w:val="002C409B"/>
    <w:rsid w:val="002C45D2"/>
    <w:rsid w:val="002C50AA"/>
    <w:rsid w:val="002E505A"/>
    <w:rsid w:val="002E61E0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7915"/>
    <w:rsid w:val="00367B03"/>
    <w:rsid w:val="003716B0"/>
    <w:rsid w:val="00371F8C"/>
    <w:rsid w:val="00376EE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7C8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451B"/>
    <w:rsid w:val="004046B9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86ADA"/>
    <w:rsid w:val="0049193D"/>
    <w:rsid w:val="00495D34"/>
    <w:rsid w:val="004A405E"/>
    <w:rsid w:val="004A5E8D"/>
    <w:rsid w:val="004B0595"/>
    <w:rsid w:val="004B065E"/>
    <w:rsid w:val="004B615A"/>
    <w:rsid w:val="004B74D2"/>
    <w:rsid w:val="004C1144"/>
    <w:rsid w:val="004C1720"/>
    <w:rsid w:val="004C48CD"/>
    <w:rsid w:val="004C64BA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5A66"/>
    <w:rsid w:val="005109A1"/>
    <w:rsid w:val="00512F1F"/>
    <w:rsid w:val="00513D8C"/>
    <w:rsid w:val="00516D7C"/>
    <w:rsid w:val="00517DA0"/>
    <w:rsid w:val="005207B3"/>
    <w:rsid w:val="00532ED3"/>
    <w:rsid w:val="00541BE4"/>
    <w:rsid w:val="00543788"/>
    <w:rsid w:val="00543A75"/>
    <w:rsid w:val="00547301"/>
    <w:rsid w:val="00550E06"/>
    <w:rsid w:val="005572CB"/>
    <w:rsid w:val="005608DB"/>
    <w:rsid w:val="00562182"/>
    <w:rsid w:val="00565189"/>
    <w:rsid w:val="005807D0"/>
    <w:rsid w:val="005815E4"/>
    <w:rsid w:val="0058680C"/>
    <w:rsid w:val="005872F9"/>
    <w:rsid w:val="00587A88"/>
    <w:rsid w:val="0059147F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3DE6"/>
    <w:rsid w:val="005C78C4"/>
    <w:rsid w:val="005C7C57"/>
    <w:rsid w:val="005D199B"/>
    <w:rsid w:val="005D1C7F"/>
    <w:rsid w:val="005D6957"/>
    <w:rsid w:val="005E04F9"/>
    <w:rsid w:val="005E28A0"/>
    <w:rsid w:val="005E3CA4"/>
    <w:rsid w:val="005E7671"/>
    <w:rsid w:val="005F0D7A"/>
    <w:rsid w:val="005F4998"/>
    <w:rsid w:val="005F5AE3"/>
    <w:rsid w:val="005F711E"/>
    <w:rsid w:val="0060403F"/>
    <w:rsid w:val="00610D27"/>
    <w:rsid w:val="00624DF7"/>
    <w:rsid w:val="00631D4C"/>
    <w:rsid w:val="00636807"/>
    <w:rsid w:val="00643810"/>
    <w:rsid w:val="00643AC6"/>
    <w:rsid w:val="00644AB2"/>
    <w:rsid w:val="006578BA"/>
    <w:rsid w:val="006630BA"/>
    <w:rsid w:val="00664ED2"/>
    <w:rsid w:val="00665E93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D0125"/>
    <w:rsid w:val="006D02A7"/>
    <w:rsid w:val="006D7DEB"/>
    <w:rsid w:val="006E171A"/>
    <w:rsid w:val="006E4EE5"/>
    <w:rsid w:val="006E59BC"/>
    <w:rsid w:val="006E69FA"/>
    <w:rsid w:val="006F694E"/>
    <w:rsid w:val="00705ED7"/>
    <w:rsid w:val="00710B37"/>
    <w:rsid w:val="00712177"/>
    <w:rsid w:val="007244D9"/>
    <w:rsid w:val="00724EF2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3BA8"/>
    <w:rsid w:val="007D5683"/>
    <w:rsid w:val="007D57E0"/>
    <w:rsid w:val="007D5847"/>
    <w:rsid w:val="007E018E"/>
    <w:rsid w:val="007E0F8E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A74"/>
    <w:rsid w:val="0084032E"/>
    <w:rsid w:val="0084270A"/>
    <w:rsid w:val="0084394F"/>
    <w:rsid w:val="008534A7"/>
    <w:rsid w:val="00854E82"/>
    <w:rsid w:val="00860AAC"/>
    <w:rsid w:val="00866DA5"/>
    <w:rsid w:val="008721B5"/>
    <w:rsid w:val="00877145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C21"/>
    <w:rsid w:val="008A70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12B9C"/>
    <w:rsid w:val="0091500D"/>
    <w:rsid w:val="009155FC"/>
    <w:rsid w:val="009317B1"/>
    <w:rsid w:val="00931C4C"/>
    <w:rsid w:val="009355D6"/>
    <w:rsid w:val="0093597B"/>
    <w:rsid w:val="00935DA9"/>
    <w:rsid w:val="00941BB9"/>
    <w:rsid w:val="00951A74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C5769"/>
    <w:rsid w:val="009D098B"/>
    <w:rsid w:val="009E1BD8"/>
    <w:rsid w:val="009E1D0D"/>
    <w:rsid w:val="009E7C18"/>
    <w:rsid w:val="009F08CD"/>
    <w:rsid w:val="009F1984"/>
    <w:rsid w:val="00A01456"/>
    <w:rsid w:val="00A05DD5"/>
    <w:rsid w:val="00A14CB2"/>
    <w:rsid w:val="00A15460"/>
    <w:rsid w:val="00A30D65"/>
    <w:rsid w:val="00A32DB9"/>
    <w:rsid w:val="00A32F1F"/>
    <w:rsid w:val="00A342E4"/>
    <w:rsid w:val="00A3733C"/>
    <w:rsid w:val="00A43B84"/>
    <w:rsid w:val="00A502A0"/>
    <w:rsid w:val="00A57B79"/>
    <w:rsid w:val="00A61361"/>
    <w:rsid w:val="00A65AC7"/>
    <w:rsid w:val="00A65CA8"/>
    <w:rsid w:val="00A74974"/>
    <w:rsid w:val="00A74F74"/>
    <w:rsid w:val="00A800E8"/>
    <w:rsid w:val="00A81E99"/>
    <w:rsid w:val="00A86550"/>
    <w:rsid w:val="00A92433"/>
    <w:rsid w:val="00A93D48"/>
    <w:rsid w:val="00AA51D6"/>
    <w:rsid w:val="00AB16C0"/>
    <w:rsid w:val="00AB2703"/>
    <w:rsid w:val="00AB4E53"/>
    <w:rsid w:val="00AB50D6"/>
    <w:rsid w:val="00AB5D62"/>
    <w:rsid w:val="00AC0AEF"/>
    <w:rsid w:val="00AC0B63"/>
    <w:rsid w:val="00AC364C"/>
    <w:rsid w:val="00AC387F"/>
    <w:rsid w:val="00AD1D8E"/>
    <w:rsid w:val="00AD3FD9"/>
    <w:rsid w:val="00AD600D"/>
    <w:rsid w:val="00AD6F02"/>
    <w:rsid w:val="00AE2D4C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21CC"/>
    <w:rsid w:val="00B44215"/>
    <w:rsid w:val="00B5335B"/>
    <w:rsid w:val="00B537C3"/>
    <w:rsid w:val="00B53C04"/>
    <w:rsid w:val="00B57CA6"/>
    <w:rsid w:val="00B623EE"/>
    <w:rsid w:val="00B768BE"/>
    <w:rsid w:val="00B802E7"/>
    <w:rsid w:val="00B82EBD"/>
    <w:rsid w:val="00B83DC3"/>
    <w:rsid w:val="00B85961"/>
    <w:rsid w:val="00B875DD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15780"/>
    <w:rsid w:val="00C23403"/>
    <w:rsid w:val="00C24290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8165B"/>
    <w:rsid w:val="00C81A6B"/>
    <w:rsid w:val="00C82892"/>
    <w:rsid w:val="00C828E6"/>
    <w:rsid w:val="00C90078"/>
    <w:rsid w:val="00C90A09"/>
    <w:rsid w:val="00C91494"/>
    <w:rsid w:val="00CA048A"/>
    <w:rsid w:val="00CA35C7"/>
    <w:rsid w:val="00CB1C7A"/>
    <w:rsid w:val="00CB2304"/>
    <w:rsid w:val="00CC0619"/>
    <w:rsid w:val="00CC5ADE"/>
    <w:rsid w:val="00CE1011"/>
    <w:rsid w:val="00CE1C23"/>
    <w:rsid w:val="00CE5372"/>
    <w:rsid w:val="00CF11BB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27D5"/>
    <w:rsid w:val="00D35FCC"/>
    <w:rsid w:val="00D3755A"/>
    <w:rsid w:val="00D40396"/>
    <w:rsid w:val="00D41D3D"/>
    <w:rsid w:val="00D50274"/>
    <w:rsid w:val="00D807B3"/>
    <w:rsid w:val="00D85897"/>
    <w:rsid w:val="00D96503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7210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47A9"/>
    <w:rsid w:val="00E14D84"/>
    <w:rsid w:val="00E227AF"/>
    <w:rsid w:val="00E32692"/>
    <w:rsid w:val="00E33824"/>
    <w:rsid w:val="00E351D1"/>
    <w:rsid w:val="00E35D85"/>
    <w:rsid w:val="00E47DB8"/>
    <w:rsid w:val="00E5005F"/>
    <w:rsid w:val="00E5034F"/>
    <w:rsid w:val="00E61D4A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B1511"/>
    <w:rsid w:val="00EB4FE0"/>
    <w:rsid w:val="00EB50A8"/>
    <w:rsid w:val="00EB6295"/>
    <w:rsid w:val="00EC088F"/>
    <w:rsid w:val="00EC4EB2"/>
    <w:rsid w:val="00ED751F"/>
    <w:rsid w:val="00EE1273"/>
    <w:rsid w:val="00EE4F14"/>
    <w:rsid w:val="00EE6427"/>
    <w:rsid w:val="00EF1F96"/>
    <w:rsid w:val="00F02F90"/>
    <w:rsid w:val="00F13674"/>
    <w:rsid w:val="00F14AEA"/>
    <w:rsid w:val="00F25235"/>
    <w:rsid w:val="00F26B38"/>
    <w:rsid w:val="00F27AC6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6F04"/>
    <w:rsid w:val="00FA10A4"/>
    <w:rsid w:val="00FA4D08"/>
    <w:rsid w:val="00FA586D"/>
    <w:rsid w:val="00FA6525"/>
    <w:rsid w:val="00FC2C06"/>
    <w:rsid w:val="00FC3176"/>
    <w:rsid w:val="00FC5577"/>
    <w:rsid w:val="00FC584C"/>
    <w:rsid w:val="00FD326C"/>
    <w:rsid w:val="00FD3801"/>
    <w:rsid w:val="00FD50A6"/>
    <w:rsid w:val="00FD704D"/>
    <w:rsid w:val="00FE0FA6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5CA2859"/>
  <w15:docId w15:val="{44FD1C5B-0AE4-4677-AC21-AB73170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F8585-58AD-4FE2-8715-4DA2ACB4F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73CA7E-EFF5-43F1-BF8F-ACE6BC3CF0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C42180-F3C6-4D1A-B1DA-86B6F4FA20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4E7338-B2F9-4DC4-A62C-1C65FFBC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2398</Words>
  <Characters>14151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Claudia Kähsová</cp:lastModifiedBy>
  <cp:revision>11</cp:revision>
  <cp:lastPrinted>2016-05-09T11:51:00Z</cp:lastPrinted>
  <dcterms:created xsi:type="dcterms:W3CDTF">2017-07-26T12:58:00Z</dcterms:created>
  <dcterms:modified xsi:type="dcterms:W3CDTF">2020-05-04T17:43:00Z</dcterms:modified>
</cp:coreProperties>
</file>